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F304" w14:textId="77777777" w:rsidR="00E27CC9" w:rsidRPr="00BF0879" w:rsidRDefault="00E27CC9" w:rsidP="00215670">
      <w:pPr>
        <w:snapToGrid w:val="0"/>
        <w:spacing w:before="240" w:line="312" w:lineRule="auto"/>
        <w:jc w:val="left"/>
        <w:rPr>
          <w:b/>
          <w:bCs/>
          <w:color w:val="000000" w:themeColor="text1"/>
        </w:rPr>
      </w:pPr>
      <w:r w:rsidRPr="00BF0879">
        <w:rPr>
          <w:noProof/>
          <w:color w:val="000000" w:themeColor="text1"/>
          <w:lang w:val="en-GB" w:eastAsia="en-GB"/>
        </w:rPr>
        <w:drawing>
          <wp:anchor distT="0" distB="0" distL="114300" distR="114300" simplePos="0" relativeHeight="251653632" behindDoc="0" locked="0" layoutInCell="1" allowOverlap="1" wp14:anchorId="2A1E3C69" wp14:editId="3F95B642">
            <wp:simplePos x="0" y="0"/>
            <wp:positionH relativeFrom="page">
              <wp:posOffset>633004</wp:posOffset>
            </wp:positionH>
            <wp:positionV relativeFrom="page">
              <wp:posOffset>598079</wp:posOffset>
            </wp:positionV>
            <wp:extent cx="2160905" cy="554355"/>
            <wp:effectExtent l="0" t="0" r="0" b="44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p w14:paraId="189FC3F6" w14:textId="52EDE59C" w:rsidR="00E27CC9" w:rsidRPr="00B81CD9" w:rsidRDefault="00E27CC9" w:rsidP="00F27C57">
      <w:pPr>
        <w:snapToGrid w:val="0"/>
        <w:spacing w:before="240" w:line="312" w:lineRule="auto"/>
        <w:jc w:val="left"/>
        <w:outlineLvl w:val="0"/>
        <w:rPr>
          <w:b/>
          <w:bCs/>
          <w:color w:val="000000" w:themeColor="text1"/>
          <w:sz w:val="26"/>
          <w:szCs w:val="26"/>
        </w:rPr>
      </w:pPr>
      <w:r w:rsidRPr="00B81CD9">
        <w:rPr>
          <w:b/>
          <w:bCs/>
          <w:color w:val="000000" w:themeColor="text1"/>
          <w:sz w:val="26"/>
          <w:szCs w:val="26"/>
        </w:rPr>
        <w:t>Au</w:t>
      </w:r>
      <w:r w:rsidR="00803EBA" w:rsidRPr="00B81CD9">
        <w:rPr>
          <w:b/>
          <w:bCs/>
          <w:color w:val="000000" w:themeColor="text1"/>
          <w:sz w:val="26"/>
          <w:szCs w:val="26"/>
        </w:rPr>
        <w:t xml:space="preserve">dit </w:t>
      </w:r>
      <w:r w:rsidR="00361858" w:rsidRPr="00B81CD9">
        <w:rPr>
          <w:b/>
          <w:bCs/>
          <w:color w:val="000000" w:themeColor="text1"/>
          <w:sz w:val="26"/>
          <w:szCs w:val="26"/>
        </w:rPr>
        <w:t xml:space="preserve">and Risk </w:t>
      </w:r>
      <w:r w:rsidR="00803EBA" w:rsidRPr="00B81CD9">
        <w:rPr>
          <w:b/>
          <w:bCs/>
          <w:color w:val="000000" w:themeColor="text1"/>
          <w:sz w:val="26"/>
          <w:szCs w:val="26"/>
        </w:rPr>
        <w:t xml:space="preserve">Committee Annual Report </w:t>
      </w:r>
      <w:r w:rsidR="00A23480" w:rsidRPr="00B81CD9">
        <w:rPr>
          <w:b/>
          <w:bCs/>
          <w:color w:val="000000" w:themeColor="text1"/>
          <w:sz w:val="26"/>
          <w:szCs w:val="26"/>
        </w:rPr>
        <w:t>20</w:t>
      </w:r>
      <w:r w:rsidR="002D0327" w:rsidRPr="00B81CD9">
        <w:rPr>
          <w:b/>
          <w:bCs/>
          <w:color w:val="000000" w:themeColor="text1"/>
          <w:sz w:val="26"/>
          <w:szCs w:val="26"/>
        </w:rPr>
        <w:t>24/25</w:t>
      </w:r>
    </w:p>
    <w:p w14:paraId="442D703C" w14:textId="77777777" w:rsidR="009D67D1" w:rsidRPr="00B81CD9" w:rsidRDefault="254A9DA0" w:rsidP="001E17F8">
      <w:pPr>
        <w:pStyle w:val="ListParagraph"/>
        <w:snapToGrid w:val="0"/>
        <w:spacing w:before="240" w:line="312" w:lineRule="auto"/>
        <w:ind w:left="709"/>
        <w:contextualSpacing w:val="0"/>
        <w:jc w:val="left"/>
        <w:rPr>
          <w:b/>
          <w:bCs/>
          <w:color w:val="000000" w:themeColor="text1"/>
          <w:szCs w:val="22"/>
        </w:rPr>
      </w:pPr>
      <w:r w:rsidRPr="00B81CD9">
        <w:rPr>
          <w:b/>
          <w:bCs/>
          <w:color w:val="000000" w:themeColor="text1"/>
        </w:rPr>
        <w:t>Introduction</w:t>
      </w:r>
    </w:p>
    <w:p w14:paraId="1E378CA9" w14:textId="44A7E940" w:rsidR="00336C02" w:rsidRPr="00B81CD9" w:rsidRDefault="00093DB3" w:rsidP="00F27C57">
      <w:pPr>
        <w:pStyle w:val="ListParagraph"/>
        <w:snapToGrid w:val="0"/>
        <w:spacing w:before="240" w:line="312" w:lineRule="auto"/>
        <w:ind w:left="709"/>
        <w:contextualSpacing w:val="0"/>
        <w:jc w:val="left"/>
        <w:rPr>
          <w:color w:val="000000" w:themeColor="text1"/>
          <w:szCs w:val="22"/>
        </w:rPr>
      </w:pPr>
      <w:r w:rsidRPr="00B81CD9">
        <w:rPr>
          <w:rFonts w:cs="Arial"/>
          <w:color w:val="000000" w:themeColor="text1"/>
          <w:szCs w:val="22"/>
          <w:shd w:val="clear" w:color="auto" w:fill="FFFFFF"/>
        </w:rPr>
        <w:t>The Committee of University Chairs’ Higher Education Audit Code of Practice (2020) requires the Audit and Risk Committee</w:t>
      </w:r>
      <w:r w:rsidR="007A3A13" w:rsidRPr="00B81CD9">
        <w:rPr>
          <w:rFonts w:cs="Arial"/>
          <w:color w:val="000000" w:themeColor="text1"/>
          <w:szCs w:val="22"/>
          <w:shd w:val="clear" w:color="auto" w:fill="FFFFFF"/>
        </w:rPr>
        <w:t xml:space="preserve"> to submit an annual report to the Board </w:t>
      </w:r>
      <w:r w:rsidR="00361858" w:rsidRPr="00B81CD9">
        <w:rPr>
          <w:rFonts w:cs="Arial"/>
          <w:color w:val="000000" w:themeColor="text1"/>
          <w:szCs w:val="22"/>
          <w:shd w:val="clear" w:color="auto" w:fill="FFFFFF"/>
        </w:rPr>
        <w:t>of Governors</w:t>
      </w:r>
      <w:r w:rsidR="007A3A13" w:rsidRPr="00B81CD9">
        <w:rPr>
          <w:rFonts w:cs="Arial"/>
          <w:color w:val="000000" w:themeColor="text1"/>
          <w:sz w:val="20"/>
          <w:szCs w:val="20"/>
          <w:shd w:val="clear" w:color="auto" w:fill="FFFFFF"/>
        </w:rPr>
        <w:t xml:space="preserve"> </w:t>
      </w:r>
      <w:r w:rsidR="254A9DA0" w:rsidRPr="00B81CD9">
        <w:rPr>
          <w:color w:val="000000" w:themeColor="text1"/>
        </w:rPr>
        <w:t xml:space="preserve">This is the Annual Report of the Audit </w:t>
      </w:r>
      <w:r w:rsidR="00361858" w:rsidRPr="00B81CD9">
        <w:rPr>
          <w:color w:val="000000" w:themeColor="text1"/>
        </w:rPr>
        <w:t xml:space="preserve">and Risk </w:t>
      </w:r>
      <w:r w:rsidR="254A9DA0" w:rsidRPr="00B81CD9">
        <w:rPr>
          <w:color w:val="000000" w:themeColor="text1"/>
        </w:rPr>
        <w:t>Committee (the Committ</w:t>
      </w:r>
      <w:r w:rsidR="008816B8" w:rsidRPr="00B81CD9">
        <w:rPr>
          <w:color w:val="000000" w:themeColor="text1"/>
        </w:rPr>
        <w:t xml:space="preserve">ee) for the period 1 August </w:t>
      </w:r>
      <w:r w:rsidR="002D0327" w:rsidRPr="00B81CD9">
        <w:rPr>
          <w:color w:val="000000" w:themeColor="text1"/>
        </w:rPr>
        <w:t>2024</w:t>
      </w:r>
      <w:r w:rsidR="00A17FC1" w:rsidRPr="00B81CD9">
        <w:rPr>
          <w:color w:val="000000" w:themeColor="text1"/>
        </w:rPr>
        <w:t xml:space="preserve"> </w:t>
      </w:r>
      <w:r w:rsidR="008816B8" w:rsidRPr="00B81CD9">
        <w:rPr>
          <w:color w:val="000000" w:themeColor="text1"/>
        </w:rPr>
        <w:t xml:space="preserve">to 31 July </w:t>
      </w:r>
      <w:r w:rsidR="002D0327" w:rsidRPr="00B81CD9">
        <w:rPr>
          <w:color w:val="000000" w:themeColor="text1"/>
        </w:rPr>
        <w:t>2025</w:t>
      </w:r>
      <w:r w:rsidR="254A9DA0" w:rsidRPr="00B81CD9">
        <w:rPr>
          <w:color w:val="000000" w:themeColor="text1"/>
        </w:rPr>
        <w:t>.  Any significant issues that</w:t>
      </w:r>
      <w:r w:rsidR="008816B8" w:rsidRPr="00B81CD9">
        <w:rPr>
          <w:color w:val="000000" w:themeColor="text1"/>
        </w:rPr>
        <w:t xml:space="preserve"> have arisen since 1 August </w:t>
      </w:r>
      <w:r w:rsidR="002D0327" w:rsidRPr="00B81CD9">
        <w:rPr>
          <w:color w:val="000000" w:themeColor="text1"/>
        </w:rPr>
        <w:t>2025</w:t>
      </w:r>
      <w:r w:rsidR="254A9DA0" w:rsidRPr="00B81CD9">
        <w:rPr>
          <w:color w:val="000000" w:themeColor="text1"/>
        </w:rPr>
        <w:t xml:space="preserve"> and up</w:t>
      </w:r>
      <w:r w:rsidR="008816B8" w:rsidRPr="00B81CD9">
        <w:rPr>
          <w:color w:val="000000" w:themeColor="text1"/>
        </w:rPr>
        <w:t xml:space="preserve"> to the date of this report (</w:t>
      </w:r>
      <w:r w:rsidR="00A23480" w:rsidRPr="00B81CD9">
        <w:rPr>
          <w:color w:val="000000" w:themeColor="text1"/>
        </w:rPr>
        <w:t>1</w:t>
      </w:r>
      <w:r w:rsidR="002D0327" w:rsidRPr="00B81CD9">
        <w:rPr>
          <w:color w:val="000000" w:themeColor="text1"/>
        </w:rPr>
        <w:t>0</w:t>
      </w:r>
      <w:r w:rsidR="008816B8" w:rsidRPr="00B81CD9">
        <w:rPr>
          <w:color w:val="000000" w:themeColor="text1"/>
        </w:rPr>
        <w:t xml:space="preserve"> </w:t>
      </w:r>
      <w:r w:rsidR="254A9DA0" w:rsidRPr="00B81CD9">
        <w:rPr>
          <w:color w:val="000000" w:themeColor="text1"/>
        </w:rPr>
        <w:t xml:space="preserve">November </w:t>
      </w:r>
      <w:r w:rsidR="002D0327" w:rsidRPr="00B81CD9">
        <w:rPr>
          <w:color w:val="000000" w:themeColor="text1"/>
        </w:rPr>
        <w:t>2025</w:t>
      </w:r>
      <w:r w:rsidR="254A9DA0" w:rsidRPr="00B81CD9">
        <w:rPr>
          <w:color w:val="000000" w:themeColor="text1"/>
        </w:rPr>
        <w:t>) have also been included.</w:t>
      </w:r>
    </w:p>
    <w:p w14:paraId="541BE139" w14:textId="77777777" w:rsidR="00336C02" w:rsidRPr="00B81CD9" w:rsidRDefault="254A9DA0" w:rsidP="001E17F8">
      <w:pPr>
        <w:pStyle w:val="ListParagraph"/>
        <w:snapToGrid w:val="0"/>
        <w:spacing w:before="240" w:line="312" w:lineRule="auto"/>
        <w:ind w:left="709"/>
        <w:contextualSpacing w:val="0"/>
        <w:jc w:val="left"/>
        <w:rPr>
          <w:color w:val="000000" w:themeColor="text1"/>
          <w:szCs w:val="22"/>
        </w:rPr>
      </w:pPr>
      <w:r w:rsidRPr="00B81CD9">
        <w:rPr>
          <w:color w:val="000000" w:themeColor="text1"/>
        </w:rPr>
        <w:t>It is addressed to the Vice Chancellor and Chief Executive (as Accountable Officer) and to the Board of Governors.</w:t>
      </w:r>
    </w:p>
    <w:p w14:paraId="1B8C375F" w14:textId="77777777" w:rsidR="00E27CC9" w:rsidRPr="00B81CD9" w:rsidRDefault="254A9DA0" w:rsidP="001E17F8">
      <w:pPr>
        <w:pStyle w:val="ListParagraph"/>
        <w:snapToGrid w:val="0"/>
        <w:spacing w:before="240" w:line="312" w:lineRule="auto"/>
        <w:ind w:left="709"/>
        <w:contextualSpacing w:val="0"/>
        <w:jc w:val="left"/>
        <w:rPr>
          <w:color w:val="000000" w:themeColor="text1"/>
          <w:szCs w:val="22"/>
        </w:rPr>
      </w:pPr>
      <w:r w:rsidRPr="00B81CD9">
        <w:rPr>
          <w:color w:val="000000" w:themeColor="text1"/>
        </w:rPr>
        <w:t xml:space="preserve">It follows substantially the model Audit Committee Annual Report set out in the Committee of University’s Chairs’ </w:t>
      </w:r>
      <w:r w:rsidRPr="00B81CD9">
        <w:rPr>
          <w:i/>
          <w:iCs/>
          <w:color w:val="000000" w:themeColor="text1"/>
        </w:rPr>
        <w:t>Handbook for Members of Audit Committees in Higher Education.</w:t>
      </w:r>
    </w:p>
    <w:p w14:paraId="6D34FD7E" w14:textId="57A5FFB3" w:rsidR="004957B6" w:rsidRPr="00B81CD9" w:rsidRDefault="254A9DA0" w:rsidP="00755C1B">
      <w:pPr>
        <w:pStyle w:val="ListParagraph"/>
        <w:snapToGrid w:val="0"/>
        <w:spacing w:before="240" w:line="312" w:lineRule="auto"/>
        <w:ind w:left="709"/>
        <w:contextualSpacing w:val="0"/>
        <w:jc w:val="left"/>
        <w:rPr>
          <w:color w:val="000000" w:themeColor="text1"/>
          <w:szCs w:val="22"/>
        </w:rPr>
      </w:pPr>
      <w:r w:rsidRPr="00B81CD9">
        <w:rPr>
          <w:color w:val="000000" w:themeColor="text1"/>
        </w:rPr>
        <w:t>In presenting this report, the Committee confirms that it has, as required by the Audit Code of Practice and the OfS terms and conditions for higher education funding, reviewed the adequacy and effectiveness of the University’s arrangements for:</w:t>
      </w:r>
    </w:p>
    <w:p w14:paraId="24EDBDA4" w14:textId="77777777" w:rsidR="009D67D1" w:rsidRPr="00B81CD9" w:rsidRDefault="254A9DA0" w:rsidP="254A9DA0">
      <w:pPr>
        <w:pStyle w:val="ListParagraph"/>
        <w:numPr>
          <w:ilvl w:val="3"/>
          <w:numId w:val="2"/>
        </w:numPr>
        <w:snapToGrid w:val="0"/>
        <w:spacing w:before="120" w:line="312" w:lineRule="auto"/>
        <w:ind w:left="1134" w:hanging="425"/>
        <w:contextualSpacing w:val="0"/>
        <w:jc w:val="left"/>
        <w:rPr>
          <w:rFonts w:cs="Arial"/>
          <w:color w:val="000000" w:themeColor="text1"/>
          <w:lang w:val="en-GB"/>
        </w:rPr>
      </w:pPr>
      <w:r w:rsidRPr="00B81CD9">
        <w:rPr>
          <w:rFonts w:cs="Arial"/>
          <w:color w:val="000000" w:themeColor="text1"/>
          <w:lang w:val="en-GB"/>
        </w:rPr>
        <w:t>risk management, control and governance;</w:t>
      </w:r>
    </w:p>
    <w:p w14:paraId="4F910196" w14:textId="742A7EAB" w:rsidR="009D67D1" w:rsidRPr="00B81CD9" w:rsidRDefault="254A9DA0" w:rsidP="254A9DA0">
      <w:pPr>
        <w:pStyle w:val="ListParagraph"/>
        <w:numPr>
          <w:ilvl w:val="3"/>
          <w:numId w:val="2"/>
        </w:numPr>
        <w:snapToGrid w:val="0"/>
        <w:spacing w:before="120" w:line="312" w:lineRule="auto"/>
        <w:ind w:left="1134" w:hanging="425"/>
        <w:contextualSpacing w:val="0"/>
        <w:jc w:val="left"/>
        <w:rPr>
          <w:rFonts w:cs="Arial"/>
          <w:color w:val="000000" w:themeColor="text1"/>
          <w:lang w:val="en-GB"/>
        </w:rPr>
      </w:pPr>
      <w:r w:rsidRPr="00B81CD9">
        <w:rPr>
          <w:rFonts w:cs="Arial"/>
          <w:color w:val="000000" w:themeColor="text1"/>
          <w:lang w:val="en-GB"/>
        </w:rPr>
        <w:t>economy, efficiency and effectiveness (VfM); and</w:t>
      </w:r>
    </w:p>
    <w:p w14:paraId="08F6BC80" w14:textId="508808BB" w:rsidR="00336C02" w:rsidRPr="00B81CD9" w:rsidRDefault="254A9DA0" w:rsidP="254A9DA0">
      <w:pPr>
        <w:pStyle w:val="ListParagraph"/>
        <w:numPr>
          <w:ilvl w:val="3"/>
          <w:numId w:val="2"/>
        </w:numPr>
        <w:snapToGrid w:val="0"/>
        <w:spacing w:before="120" w:line="312" w:lineRule="auto"/>
        <w:ind w:left="1134" w:hanging="425"/>
        <w:contextualSpacing w:val="0"/>
        <w:jc w:val="left"/>
        <w:rPr>
          <w:rFonts w:cs="Arial"/>
          <w:color w:val="000000" w:themeColor="text1"/>
          <w:lang w:val="en-GB"/>
        </w:rPr>
      </w:pPr>
      <w:r w:rsidRPr="00B81CD9">
        <w:rPr>
          <w:rFonts w:cs="Arial"/>
          <w:color w:val="000000" w:themeColor="text1"/>
          <w:lang w:val="en-GB"/>
        </w:rPr>
        <w:t>the management and quality assurance of data submitted to the Higher Education Statistics Agency (HESA), the Student Loans Company (SLC), Office for Students and other funding bodies.</w:t>
      </w:r>
    </w:p>
    <w:p w14:paraId="7CAA2847" w14:textId="77777777" w:rsidR="0096215D" w:rsidRPr="00B81CD9" w:rsidRDefault="254A9DA0" w:rsidP="001E17F8">
      <w:pPr>
        <w:pStyle w:val="ListParagraph"/>
        <w:snapToGrid w:val="0"/>
        <w:spacing w:before="240" w:line="312" w:lineRule="auto"/>
        <w:ind w:left="709"/>
        <w:contextualSpacing w:val="0"/>
        <w:jc w:val="left"/>
        <w:rPr>
          <w:color w:val="000000" w:themeColor="text1"/>
          <w:szCs w:val="22"/>
        </w:rPr>
      </w:pPr>
      <w:r w:rsidRPr="00B81CD9">
        <w:rPr>
          <w:rFonts w:cs="Arial"/>
          <w:color w:val="000000" w:themeColor="text1"/>
        </w:rPr>
        <w:t>The Committee’s conclusions thereon are contained in this report.</w:t>
      </w:r>
    </w:p>
    <w:p w14:paraId="26D82B53" w14:textId="77777777" w:rsidR="00C75842" w:rsidRPr="00B81CD9" w:rsidRDefault="00C75842">
      <w:pPr>
        <w:shd w:val="clear" w:color="auto" w:fill="auto"/>
        <w:spacing w:line="240" w:lineRule="auto"/>
        <w:jc w:val="left"/>
        <w:rPr>
          <w:b/>
          <w:bCs/>
          <w:color w:val="000000" w:themeColor="text1"/>
          <w:szCs w:val="22"/>
        </w:rPr>
      </w:pPr>
      <w:r w:rsidRPr="00B81CD9">
        <w:rPr>
          <w:b/>
          <w:bCs/>
          <w:color w:val="000000" w:themeColor="text1"/>
          <w:szCs w:val="22"/>
        </w:rPr>
        <w:br w:type="page"/>
      </w:r>
    </w:p>
    <w:p w14:paraId="4E02C89F" w14:textId="07A30D9D" w:rsidR="00CC6ACB" w:rsidRPr="00B81CD9" w:rsidRDefault="254A9DA0" w:rsidP="254A9DA0">
      <w:pPr>
        <w:pStyle w:val="ListParagraph"/>
        <w:numPr>
          <w:ilvl w:val="0"/>
          <w:numId w:val="1"/>
        </w:numPr>
        <w:snapToGrid w:val="0"/>
        <w:spacing w:before="240" w:line="312" w:lineRule="auto"/>
        <w:ind w:left="709" w:hanging="709"/>
        <w:contextualSpacing w:val="0"/>
        <w:jc w:val="left"/>
        <w:rPr>
          <w:b/>
          <w:bCs/>
          <w:color w:val="000000" w:themeColor="text1"/>
        </w:rPr>
      </w:pPr>
      <w:r w:rsidRPr="00B81CD9">
        <w:rPr>
          <w:b/>
          <w:bCs/>
          <w:color w:val="000000" w:themeColor="text1"/>
        </w:rPr>
        <w:lastRenderedPageBreak/>
        <w:t>Membership, meeting dates and attendance</w:t>
      </w:r>
    </w:p>
    <w:p w14:paraId="5BD761D0" w14:textId="2CC402BB" w:rsidR="00E27CC9" w:rsidRPr="00B81CD9" w:rsidRDefault="254A9DA0" w:rsidP="254A9DA0">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Committee membership during the review period (1 August </w:t>
      </w:r>
      <w:r w:rsidR="002D0327" w:rsidRPr="00B81CD9">
        <w:rPr>
          <w:rFonts w:cs="Arial"/>
          <w:color w:val="000000" w:themeColor="text1"/>
        </w:rPr>
        <w:t>2024</w:t>
      </w:r>
      <w:r w:rsidR="008816B8" w:rsidRPr="00B81CD9">
        <w:rPr>
          <w:rFonts w:cs="Arial"/>
          <w:color w:val="000000" w:themeColor="text1"/>
        </w:rPr>
        <w:t xml:space="preserve"> – </w:t>
      </w:r>
      <w:r w:rsidR="00A23480" w:rsidRPr="00B81CD9">
        <w:rPr>
          <w:rFonts w:cs="Arial"/>
          <w:color w:val="000000" w:themeColor="text1"/>
        </w:rPr>
        <w:t>1</w:t>
      </w:r>
      <w:r w:rsidR="002D0327" w:rsidRPr="00B81CD9">
        <w:rPr>
          <w:rFonts w:cs="Arial"/>
          <w:color w:val="000000" w:themeColor="text1"/>
        </w:rPr>
        <w:t>0</w:t>
      </w:r>
      <w:r w:rsidR="008816B8" w:rsidRPr="00B81CD9">
        <w:rPr>
          <w:rFonts w:cs="Arial"/>
          <w:color w:val="000000" w:themeColor="text1"/>
        </w:rPr>
        <w:t xml:space="preserve"> November </w:t>
      </w:r>
      <w:r w:rsidR="002D0327" w:rsidRPr="00B81CD9">
        <w:rPr>
          <w:rFonts w:cs="Arial"/>
          <w:color w:val="000000" w:themeColor="text1"/>
        </w:rPr>
        <w:t>2025</w:t>
      </w:r>
      <w:r w:rsidRPr="00B81CD9">
        <w:rPr>
          <w:rFonts w:cs="Arial"/>
          <w:color w:val="000000" w:themeColor="text1"/>
        </w:rPr>
        <w:t>) is set out in Table 1.  Membership was for the duration of the entire period, unless stated otherwise.</w:t>
      </w:r>
    </w:p>
    <w:p w14:paraId="77787185" w14:textId="30102B11" w:rsidR="00803EBA" w:rsidRPr="00B81CD9" w:rsidRDefault="254A9DA0" w:rsidP="254A9DA0">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The Committee met on six occasions during the review period.  Meeting dates and attendance are also </w:t>
      </w:r>
      <w:r w:rsidRPr="00B81CD9">
        <w:rPr>
          <w:rFonts w:cs="Arial"/>
          <w:color w:val="000000" w:themeColor="text1"/>
          <w:lang w:val="en-GB"/>
        </w:rPr>
        <w:t>summarised</w:t>
      </w:r>
      <w:r w:rsidRPr="00B81CD9">
        <w:rPr>
          <w:rFonts w:cs="Arial"/>
          <w:color w:val="000000" w:themeColor="text1"/>
        </w:rPr>
        <w:t xml:space="preserve"> in Table 1.</w:t>
      </w:r>
    </w:p>
    <w:p w14:paraId="7750F3EE" w14:textId="5EC2E90C" w:rsidR="00082529" w:rsidRPr="00B81CD9" w:rsidRDefault="00082529" w:rsidP="254A9DA0">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The Internal and External Auditors are </w:t>
      </w:r>
      <w:r w:rsidR="002D0327" w:rsidRPr="00B81CD9">
        <w:rPr>
          <w:rFonts w:cs="Arial"/>
          <w:color w:val="000000" w:themeColor="text1"/>
        </w:rPr>
        <w:t>t</w:t>
      </w:r>
      <w:r w:rsidRPr="00B81CD9">
        <w:rPr>
          <w:rFonts w:cs="Arial"/>
          <w:color w:val="000000" w:themeColor="text1"/>
        </w:rPr>
        <w:t xml:space="preserve">o invited to have private meetings with the Committee </w:t>
      </w:r>
      <w:r w:rsidR="009637A4" w:rsidRPr="00B81CD9">
        <w:rPr>
          <w:rFonts w:cs="Arial"/>
          <w:color w:val="000000" w:themeColor="text1"/>
        </w:rPr>
        <w:t xml:space="preserve"> annually </w:t>
      </w:r>
      <w:r w:rsidRPr="00B81CD9">
        <w:rPr>
          <w:rFonts w:cs="Arial"/>
          <w:color w:val="000000" w:themeColor="text1"/>
        </w:rPr>
        <w:t>(without management present), and the Chair of the Committee contacts both Auditors before each meeting to offer an opportunity for private discussion.</w:t>
      </w:r>
    </w:p>
    <w:p w14:paraId="70D05189" w14:textId="5B4E4DB4" w:rsidR="00F441A3" w:rsidRPr="00B81CD9" w:rsidRDefault="00F441A3" w:rsidP="00755C1B">
      <w:pPr>
        <w:snapToGrid w:val="0"/>
        <w:spacing w:before="240" w:line="312" w:lineRule="auto"/>
        <w:ind w:left="1276" w:hanging="1418"/>
        <w:jc w:val="left"/>
        <w:outlineLvl w:val="0"/>
        <w:rPr>
          <w:rFonts w:cs="Arial"/>
          <w:color w:val="000000" w:themeColor="text1"/>
          <w:szCs w:val="22"/>
        </w:rPr>
      </w:pPr>
      <w:r w:rsidRPr="00B81CD9">
        <w:rPr>
          <w:rFonts w:cs="Arial"/>
          <w:b/>
          <w:bCs/>
          <w:i/>
          <w:iCs/>
          <w:color w:val="000000" w:themeColor="text1"/>
          <w:sz w:val="20"/>
          <w:szCs w:val="20"/>
        </w:rPr>
        <w:t xml:space="preserve">Table 1: Committee </w:t>
      </w:r>
      <w:r w:rsidR="00DB03EB" w:rsidRPr="00B81CD9">
        <w:rPr>
          <w:rFonts w:cs="Arial"/>
          <w:b/>
          <w:bCs/>
          <w:i/>
          <w:iCs/>
          <w:color w:val="000000" w:themeColor="text1"/>
          <w:sz w:val="20"/>
          <w:szCs w:val="20"/>
        </w:rPr>
        <w:t>membership</w:t>
      </w:r>
      <w:r w:rsidR="00803EBA" w:rsidRPr="00B81CD9">
        <w:rPr>
          <w:rFonts w:cs="Arial"/>
          <w:b/>
          <w:bCs/>
          <w:i/>
          <w:iCs/>
          <w:color w:val="000000" w:themeColor="text1"/>
          <w:sz w:val="20"/>
          <w:szCs w:val="20"/>
        </w:rPr>
        <w:t>, meeting dates and attendance</w:t>
      </w:r>
      <w:r w:rsidR="00DB03EB" w:rsidRPr="00B81CD9">
        <w:rPr>
          <w:rFonts w:cs="Arial"/>
          <w:b/>
          <w:bCs/>
          <w:i/>
          <w:iCs/>
          <w:color w:val="000000" w:themeColor="text1"/>
          <w:sz w:val="20"/>
          <w:szCs w:val="20"/>
        </w:rPr>
        <w:t xml:space="preserve"> (1 August </w:t>
      </w:r>
      <w:r w:rsidR="002D0327" w:rsidRPr="00B81CD9">
        <w:rPr>
          <w:rFonts w:cs="Arial"/>
          <w:b/>
          <w:bCs/>
          <w:i/>
          <w:iCs/>
          <w:color w:val="000000" w:themeColor="text1"/>
          <w:sz w:val="20"/>
          <w:szCs w:val="20"/>
        </w:rPr>
        <w:t>2024</w:t>
      </w:r>
      <w:r w:rsidR="00DB03EB" w:rsidRPr="00B81CD9">
        <w:rPr>
          <w:rFonts w:cs="Arial"/>
          <w:b/>
          <w:bCs/>
          <w:i/>
          <w:iCs/>
          <w:color w:val="000000" w:themeColor="text1"/>
          <w:sz w:val="20"/>
          <w:szCs w:val="20"/>
        </w:rPr>
        <w:t xml:space="preserve"> to </w:t>
      </w:r>
      <w:r w:rsidR="00A23480" w:rsidRPr="00B81CD9">
        <w:rPr>
          <w:rFonts w:cs="Arial"/>
          <w:b/>
          <w:bCs/>
          <w:i/>
          <w:iCs/>
          <w:color w:val="000000" w:themeColor="text1"/>
          <w:sz w:val="20"/>
          <w:szCs w:val="20"/>
        </w:rPr>
        <w:t>1</w:t>
      </w:r>
      <w:r w:rsidR="002D0327" w:rsidRPr="00B81CD9">
        <w:rPr>
          <w:rFonts w:cs="Arial"/>
          <w:b/>
          <w:bCs/>
          <w:i/>
          <w:iCs/>
          <w:color w:val="000000" w:themeColor="text1"/>
          <w:sz w:val="20"/>
          <w:szCs w:val="20"/>
        </w:rPr>
        <w:t>0</w:t>
      </w:r>
      <w:r w:rsidR="00A23480" w:rsidRPr="00B81CD9">
        <w:rPr>
          <w:rFonts w:cs="Arial"/>
          <w:b/>
          <w:bCs/>
          <w:i/>
          <w:iCs/>
          <w:color w:val="000000" w:themeColor="text1"/>
          <w:sz w:val="20"/>
          <w:szCs w:val="20"/>
        </w:rPr>
        <w:t xml:space="preserve"> </w:t>
      </w:r>
      <w:r w:rsidR="003027C8" w:rsidRPr="00B81CD9">
        <w:rPr>
          <w:rFonts w:cs="Arial"/>
          <w:b/>
          <w:bCs/>
          <w:i/>
          <w:iCs/>
          <w:color w:val="000000" w:themeColor="text1"/>
          <w:sz w:val="20"/>
          <w:szCs w:val="20"/>
        </w:rPr>
        <w:t xml:space="preserve">November </w:t>
      </w:r>
      <w:r w:rsidR="00A23480" w:rsidRPr="00B81CD9">
        <w:rPr>
          <w:rFonts w:cs="Arial"/>
          <w:b/>
          <w:bCs/>
          <w:i/>
          <w:iCs/>
          <w:color w:val="000000" w:themeColor="text1"/>
          <w:sz w:val="20"/>
          <w:szCs w:val="20"/>
        </w:rPr>
        <w:t>202</w:t>
      </w:r>
      <w:r w:rsidR="002D0327" w:rsidRPr="00B81CD9">
        <w:rPr>
          <w:rFonts w:cs="Arial"/>
          <w:b/>
          <w:bCs/>
          <w:i/>
          <w:iCs/>
          <w:color w:val="000000" w:themeColor="text1"/>
          <w:sz w:val="20"/>
          <w:szCs w:val="20"/>
        </w:rPr>
        <w:t>5</w:t>
      </w:r>
      <w:r w:rsidRPr="00B81CD9">
        <w:rPr>
          <w:rFonts w:cs="Arial"/>
          <w:b/>
          <w:bCs/>
          <w:i/>
          <w:iCs/>
          <w:color w:val="000000" w:themeColor="text1"/>
          <w:sz w:val="20"/>
          <w:szCs w:val="20"/>
        </w:rPr>
        <w:t>)</w:t>
      </w:r>
    </w:p>
    <w:p w14:paraId="4F1F77A2" w14:textId="77777777" w:rsidR="00803EBA" w:rsidRPr="00B81CD9" w:rsidRDefault="00803EBA" w:rsidP="00803EBA">
      <w:pPr>
        <w:shd w:val="clear" w:color="auto" w:fill="auto"/>
        <w:spacing w:line="240" w:lineRule="auto"/>
        <w:jc w:val="left"/>
        <w:rPr>
          <w:color w:val="000000" w:themeColor="text1"/>
        </w:rPr>
      </w:pPr>
    </w:p>
    <w:tbl>
      <w:tblPr>
        <w:tblStyle w:val="TableGrid"/>
        <w:tblW w:w="0" w:type="auto"/>
        <w:tblLook w:val="04A0" w:firstRow="1" w:lastRow="0" w:firstColumn="1" w:lastColumn="0" w:noHBand="0" w:noVBand="1"/>
      </w:tblPr>
      <w:tblGrid>
        <w:gridCol w:w="1343"/>
        <w:gridCol w:w="1471"/>
        <w:gridCol w:w="675"/>
        <w:gridCol w:w="618"/>
        <w:gridCol w:w="625"/>
        <w:gridCol w:w="641"/>
        <w:gridCol w:w="675"/>
        <w:gridCol w:w="617"/>
      </w:tblGrid>
      <w:tr w:rsidR="00BF0879" w:rsidRPr="00B81CD9" w14:paraId="6AF0E16F" w14:textId="77777777" w:rsidTr="00113332">
        <w:tc>
          <w:tcPr>
            <w:tcW w:w="1343" w:type="dxa"/>
            <w:shd w:val="clear" w:color="auto" w:fill="0D0D0D" w:themeFill="text1" w:themeFillTint="F2"/>
          </w:tcPr>
          <w:p w14:paraId="0096066F" w14:textId="7749CDFF" w:rsidR="007F1489" w:rsidRPr="00B81CD9" w:rsidRDefault="00A55F5D" w:rsidP="004E0E79">
            <w:pPr>
              <w:spacing w:line="240" w:lineRule="auto"/>
              <w:rPr>
                <w:color w:val="000000" w:themeColor="text1"/>
              </w:rPr>
            </w:pPr>
            <w:r w:rsidRPr="00B81CD9">
              <w:rPr>
                <w:color w:val="000000" w:themeColor="text1"/>
              </w:rPr>
              <w:t>Name</w:t>
            </w:r>
          </w:p>
        </w:tc>
        <w:tc>
          <w:tcPr>
            <w:tcW w:w="1471" w:type="dxa"/>
            <w:shd w:val="clear" w:color="auto" w:fill="0D0D0D" w:themeFill="text1" w:themeFillTint="F2"/>
          </w:tcPr>
          <w:p w14:paraId="16818D9E" w14:textId="77777777" w:rsidR="00A55F5D" w:rsidRPr="00B81CD9" w:rsidRDefault="00A55F5D" w:rsidP="004E0E79">
            <w:pPr>
              <w:spacing w:line="240" w:lineRule="auto"/>
              <w:rPr>
                <w:color w:val="000000" w:themeColor="text1"/>
              </w:rPr>
            </w:pPr>
            <w:r w:rsidRPr="00B81CD9">
              <w:rPr>
                <w:color w:val="000000" w:themeColor="text1"/>
              </w:rPr>
              <w:t>Status</w:t>
            </w:r>
          </w:p>
        </w:tc>
        <w:tc>
          <w:tcPr>
            <w:tcW w:w="675" w:type="dxa"/>
            <w:shd w:val="clear" w:color="auto" w:fill="0D0D0D" w:themeFill="text1" w:themeFillTint="F2"/>
          </w:tcPr>
          <w:p w14:paraId="0322B035" w14:textId="712DBEE3" w:rsidR="00A55F5D" w:rsidRPr="00B81CD9" w:rsidRDefault="00A55F5D" w:rsidP="000448E0">
            <w:pPr>
              <w:spacing w:line="240" w:lineRule="auto"/>
              <w:rPr>
                <w:color w:val="000000" w:themeColor="text1"/>
              </w:rPr>
            </w:pPr>
            <w:r w:rsidRPr="00B81CD9">
              <w:rPr>
                <w:color w:val="000000" w:themeColor="text1"/>
              </w:rPr>
              <w:t xml:space="preserve">Sept </w:t>
            </w:r>
            <w:r w:rsidR="002D0327" w:rsidRPr="00B81CD9">
              <w:rPr>
                <w:color w:val="000000" w:themeColor="text1"/>
              </w:rPr>
              <w:t>24</w:t>
            </w:r>
          </w:p>
        </w:tc>
        <w:tc>
          <w:tcPr>
            <w:tcW w:w="618" w:type="dxa"/>
            <w:shd w:val="clear" w:color="auto" w:fill="0D0D0D" w:themeFill="text1" w:themeFillTint="F2"/>
          </w:tcPr>
          <w:p w14:paraId="64CE9D02" w14:textId="5F254C00" w:rsidR="00A55F5D" w:rsidRPr="00B81CD9" w:rsidRDefault="00A55F5D" w:rsidP="000448E0">
            <w:pPr>
              <w:spacing w:line="240" w:lineRule="auto"/>
              <w:rPr>
                <w:color w:val="000000" w:themeColor="text1"/>
              </w:rPr>
            </w:pPr>
            <w:r w:rsidRPr="00B81CD9">
              <w:rPr>
                <w:color w:val="000000" w:themeColor="text1"/>
              </w:rPr>
              <w:t xml:space="preserve">Nov </w:t>
            </w:r>
            <w:r w:rsidR="002D0327" w:rsidRPr="00B81CD9">
              <w:rPr>
                <w:color w:val="000000" w:themeColor="text1"/>
              </w:rPr>
              <w:t>24</w:t>
            </w:r>
          </w:p>
        </w:tc>
        <w:tc>
          <w:tcPr>
            <w:tcW w:w="625" w:type="dxa"/>
            <w:shd w:val="clear" w:color="auto" w:fill="0D0D0D" w:themeFill="text1" w:themeFillTint="F2"/>
          </w:tcPr>
          <w:p w14:paraId="13323AE5" w14:textId="77777777" w:rsidR="002D0327" w:rsidRPr="00B81CD9" w:rsidRDefault="00A55F5D" w:rsidP="000448E0">
            <w:pPr>
              <w:spacing w:line="240" w:lineRule="auto"/>
              <w:rPr>
                <w:color w:val="000000" w:themeColor="text1"/>
              </w:rPr>
            </w:pPr>
            <w:r w:rsidRPr="00B81CD9">
              <w:rPr>
                <w:color w:val="000000" w:themeColor="text1"/>
              </w:rPr>
              <w:t>F</w:t>
            </w:r>
            <w:r w:rsidR="000448E0" w:rsidRPr="00B81CD9">
              <w:rPr>
                <w:color w:val="000000" w:themeColor="text1"/>
              </w:rPr>
              <w:t xml:space="preserve">eb </w:t>
            </w:r>
          </w:p>
          <w:p w14:paraId="656A3D51" w14:textId="08C5469A" w:rsidR="00A55F5D" w:rsidRPr="00B81CD9" w:rsidRDefault="002D0327" w:rsidP="000448E0">
            <w:pPr>
              <w:spacing w:line="240" w:lineRule="auto"/>
              <w:rPr>
                <w:color w:val="000000" w:themeColor="text1"/>
              </w:rPr>
            </w:pPr>
            <w:r w:rsidRPr="00B81CD9">
              <w:rPr>
                <w:color w:val="000000" w:themeColor="text1"/>
              </w:rPr>
              <w:t>25</w:t>
            </w:r>
          </w:p>
        </w:tc>
        <w:tc>
          <w:tcPr>
            <w:tcW w:w="641" w:type="dxa"/>
            <w:shd w:val="clear" w:color="auto" w:fill="0D0D0D" w:themeFill="text1" w:themeFillTint="F2"/>
          </w:tcPr>
          <w:p w14:paraId="37BF2E95" w14:textId="33B6D990" w:rsidR="00A55F5D" w:rsidRPr="00B81CD9" w:rsidRDefault="00A55F5D" w:rsidP="000448E0">
            <w:pPr>
              <w:spacing w:line="240" w:lineRule="auto"/>
              <w:rPr>
                <w:color w:val="000000" w:themeColor="text1"/>
              </w:rPr>
            </w:pPr>
            <w:r w:rsidRPr="00B81CD9">
              <w:rPr>
                <w:color w:val="000000" w:themeColor="text1"/>
              </w:rPr>
              <w:t xml:space="preserve">May </w:t>
            </w:r>
            <w:r w:rsidR="000448E0" w:rsidRPr="00B81CD9">
              <w:rPr>
                <w:color w:val="000000" w:themeColor="text1"/>
              </w:rPr>
              <w:t>2</w:t>
            </w:r>
            <w:r w:rsidR="002D0327" w:rsidRPr="00B81CD9">
              <w:rPr>
                <w:color w:val="000000" w:themeColor="text1"/>
              </w:rPr>
              <w:t>5</w:t>
            </w:r>
          </w:p>
        </w:tc>
        <w:tc>
          <w:tcPr>
            <w:tcW w:w="675" w:type="dxa"/>
            <w:shd w:val="clear" w:color="auto" w:fill="0D0D0D" w:themeFill="text1" w:themeFillTint="F2"/>
          </w:tcPr>
          <w:p w14:paraId="3C6AE205" w14:textId="63596CB0" w:rsidR="00A55F5D" w:rsidRPr="00B81CD9" w:rsidRDefault="00A55F5D" w:rsidP="004E0E79">
            <w:pPr>
              <w:spacing w:line="240" w:lineRule="auto"/>
              <w:rPr>
                <w:color w:val="000000" w:themeColor="text1"/>
              </w:rPr>
            </w:pPr>
            <w:r w:rsidRPr="00B81CD9">
              <w:rPr>
                <w:color w:val="000000" w:themeColor="text1"/>
              </w:rPr>
              <w:t>S</w:t>
            </w:r>
            <w:r w:rsidR="000448E0" w:rsidRPr="00B81CD9">
              <w:rPr>
                <w:color w:val="000000" w:themeColor="text1"/>
              </w:rPr>
              <w:t>ept 2</w:t>
            </w:r>
            <w:r w:rsidR="002D0327" w:rsidRPr="00B81CD9">
              <w:rPr>
                <w:color w:val="000000" w:themeColor="text1"/>
              </w:rPr>
              <w:t>5</w:t>
            </w:r>
          </w:p>
        </w:tc>
        <w:tc>
          <w:tcPr>
            <w:tcW w:w="617" w:type="dxa"/>
            <w:shd w:val="clear" w:color="auto" w:fill="0D0D0D" w:themeFill="text1" w:themeFillTint="F2"/>
          </w:tcPr>
          <w:p w14:paraId="6B6DB620" w14:textId="672DC9CE" w:rsidR="00A55F5D" w:rsidRPr="00B81CD9" w:rsidRDefault="000448E0" w:rsidP="004E0E79">
            <w:pPr>
              <w:spacing w:line="240" w:lineRule="auto"/>
              <w:rPr>
                <w:color w:val="000000" w:themeColor="text1"/>
              </w:rPr>
            </w:pPr>
            <w:r w:rsidRPr="00B81CD9">
              <w:rPr>
                <w:color w:val="000000" w:themeColor="text1"/>
              </w:rPr>
              <w:t>Nov 2</w:t>
            </w:r>
            <w:r w:rsidR="002D0327" w:rsidRPr="00B81CD9">
              <w:rPr>
                <w:color w:val="000000" w:themeColor="text1"/>
              </w:rPr>
              <w:t>5</w:t>
            </w:r>
          </w:p>
        </w:tc>
      </w:tr>
      <w:tr w:rsidR="00BF0879" w:rsidRPr="00B81CD9" w14:paraId="25CF32F0" w14:textId="77777777" w:rsidTr="00113332">
        <w:tc>
          <w:tcPr>
            <w:tcW w:w="1343" w:type="dxa"/>
          </w:tcPr>
          <w:p w14:paraId="1B6CB30D" w14:textId="77777777" w:rsidR="00A23480" w:rsidRPr="00B81CD9" w:rsidRDefault="00A23480" w:rsidP="00A23480">
            <w:pPr>
              <w:spacing w:line="240" w:lineRule="auto"/>
              <w:rPr>
                <w:color w:val="000000" w:themeColor="text1"/>
              </w:rPr>
            </w:pPr>
            <w:r w:rsidRPr="00B81CD9">
              <w:rPr>
                <w:color w:val="000000" w:themeColor="text1"/>
              </w:rPr>
              <w:t>Allan Boardman</w:t>
            </w:r>
          </w:p>
          <w:p w14:paraId="4BE8F297" w14:textId="4458BD8D" w:rsidR="00A23480" w:rsidRPr="00B81CD9" w:rsidRDefault="00A23480" w:rsidP="00A23480">
            <w:pPr>
              <w:spacing w:line="240" w:lineRule="auto"/>
              <w:rPr>
                <w:color w:val="000000" w:themeColor="text1"/>
              </w:rPr>
            </w:pPr>
          </w:p>
        </w:tc>
        <w:tc>
          <w:tcPr>
            <w:tcW w:w="1471" w:type="dxa"/>
          </w:tcPr>
          <w:p w14:paraId="4C479877" w14:textId="77777777" w:rsidR="00A23480" w:rsidRPr="00B81CD9" w:rsidRDefault="00A23480" w:rsidP="00A23480">
            <w:pPr>
              <w:rPr>
                <w:color w:val="000000" w:themeColor="text1"/>
              </w:rPr>
            </w:pPr>
            <w:r w:rsidRPr="00B81CD9">
              <w:rPr>
                <w:color w:val="000000" w:themeColor="text1"/>
              </w:rPr>
              <w:t xml:space="preserve">Co-opted </w:t>
            </w:r>
          </w:p>
          <w:p w14:paraId="42AF716F" w14:textId="77777777" w:rsidR="00A23480" w:rsidRPr="00B81CD9" w:rsidRDefault="00A23480" w:rsidP="00A23480">
            <w:pPr>
              <w:spacing w:line="240" w:lineRule="auto"/>
              <w:rPr>
                <w:color w:val="000000" w:themeColor="text1"/>
              </w:rPr>
            </w:pPr>
          </w:p>
        </w:tc>
        <w:tc>
          <w:tcPr>
            <w:tcW w:w="675" w:type="dxa"/>
          </w:tcPr>
          <w:p w14:paraId="71EC16D8"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5F9F7C59" w14:textId="62A3CE28" w:rsidR="00A23480" w:rsidRPr="00B81CD9" w:rsidRDefault="00A23480" w:rsidP="00A23480">
            <w:pPr>
              <w:spacing w:line="240" w:lineRule="auto"/>
              <w:rPr>
                <w:color w:val="000000" w:themeColor="text1"/>
              </w:rPr>
            </w:pPr>
          </w:p>
        </w:tc>
        <w:tc>
          <w:tcPr>
            <w:tcW w:w="618" w:type="dxa"/>
          </w:tcPr>
          <w:p w14:paraId="13D77FCA"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0472580C" w14:textId="5C691307" w:rsidR="00A23480" w:rsidRPr="00B81CD9" w:rsidRDefault="00A23480" w:rsidP="00A23480">
            <w:pPr>
              <w:spacing w:line="240" w:lineRule="auto"/>
              <w:rPr>
                <w:color w:val="000000" w:themeColor="text1"/>
              </w:rPr>
            </w:pPr>
          </w:p>
        </w:tc>
        <w:tc>
          <w:tcPr>
            <w:tcW w:w="625" w:type="dxa"/>
          </w:tcPr>
          <w:p w14:paraId="68C88144"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31A8858C" w14:textId="4324AC00" w:rsidR="00A23480" w:rsidRPr="00B81CD9" w:rsidRDefault="00A23480" w:rsidP="00A23480">
            <w:pPr>
              <w:spacing w:line="240" w:lineRule="auto"/>
              <w:rPr>
                <w:color w:val="000000" w:themeColor="text1"/>
              </w:rPr>
            </w:pPr>
          </w:p>
        </w:tc>
        <w:tc>
          <w:tcPr>
            <w:tcW w:w="641" w:type="dxa"/>
          </w:tcPr>
          <w:p w14:paraId="6AE882AE"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291826C0" w14:textId="734DF533" w:rsidR="00A23480" w:rsidRPr="00B81CD9" w:rsidRDefault="00A23480" w:rsidP="00A23480">
            <w:pPr>
              <w:spacing w:line="240" w:lineRule="auto"/>
              <w:rPr>
                <w:color w:val="000000" w:themeColor="text1"/>
              </w:rPr>
            </w:pPr>
          </w:p>
        </w:tc>
        <w:tc>
          <w:tcPr>
            <w:tcW w:w="675" w:type="dxa"/>
          </w:tcPr>
          <w:p w14:paraId="05A3E124"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E9353E4" w14:textId="10C4AC1A" w:rsidR="00A23480" w:rsidRPr="00B81CD9" w:rsidRDefault="00A23480" w:rsidP="00A23480">
            <w:pPr>
              <w:spacing w:line="240" w:lineRule="auto"/>
              <w:rPr>
                <w:color w:val="000000" w:themeColor="text1"/>
              </w:rPr>
            </w:pPr>
          </w:p>
        </w:tc>
        <w:tc>
          <w:tcPr>
            <w:tcW w:w="617" w:type="dxa"/>
          </w:tcPr>
          <w:p w14:paraId="0FEFFD80" w14:textId="77777777" w:rsidR="00270181" w:rsidRPr="00B81CD9" w:rsidRDefault="00270181" w:rsidP="00270181">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50617E4" w14:textId="3694E22A" w:rsidR="00A23480" w:rsidRPr="00B81CD9" w:rsidRDefault="00A23480" w:rsidP="00A23480">
            <w:pPr>
              <w:spacing w:line="240" w:lineRule="auto"/>
              <w:rPr>
                <w:color w:val="000000" w:themeColor="text1"/>
              </w:rPr>
            </w:pPr>
          </w:p>
        </w:tc>
      </w:tr>
      <w:tr w:rsidR="00BF0879" w:rsidRPr="00B81CD9" w14:paraId="4428FDF9" w14:textId="77777777" w:rsidTr="00113332">
        <w:tc>
          <w:tcPr>
            <w:tcW w:w="1343" w:type="dxa"/>
          </w:tcPr>
          <w:p w14:paraId="1003C72F" w14:textId="77777777" w:rsidR="00A23480" w:rsidRPr="00B81CD9" w:rsidRDefault="00A23480" w:rsidP="00A23480">
            <w:pPr>
              <w:spacing w:line="240" w:lineRule="auto"/>
              <w:rPr>
                <w:color w:val="000000" w:themeColor="text1"/>
              </w:rPr>
            </w:pPr>
            <w:r w:rsidRPr="00B81CD9">
              <w:rPr>
                <w:color w:val="000000" w:themeColor="text1"/>
              </w:rPr>
              <w:t>Baron Anyangwe</w:t>
            </w:r>
          </w:p>
          <w:p w14:paraId="529BC983" w14:textId="273AA61F" w:rsidR="00A23480" w:rsidRPr="00B81CD9" w:rsidRDefault="00A23480" w:rsidP="00A23480">
            <w:pPr>
              <w:spacing w:line="240" w:lineRule="auto"/>
              <w:rPr>
                <w:color w:val="000000" w:themeColor="text1"/>
              </w:rPr>
            </w:pPr>
          </w:p>
        </w:tc>
        <w:tc>
          <w:tcPr>
            <w:tcW w:w="1471" w:type="dxa"/>
          </w:tcPr>
          <w:p w14:paraId="3D8E9170" w14:textId="68976B97" w:rsidR="00A23480" w:rsidRPr="00B81CD9" w:rsidRDefault="00A23480" w:rsidP="00A23480">
            <w:pPr>
              <w:spacing w:line="240" w:lineRule="auto"/>
              <w:rPr>
                <w:color w:val="000000" w:themeColor="text1"/>
              </w:rPr>
            </w:pPr>
            <w:r w:rsidRPr="00B81CD9">
              <w:rPr>
                <w:color w:val="000000" w:themeColor="text1"/>
              </w:rPr>
              <w:t>Independent Governor</w:t>
            </w:r>
          </w:p>
        </w:tc>
        <w:tc>
          <w:tcPr>
            <w:tcW w:w="675" w:type="dxa"/>
          </w:tcPr>
          <w:p w14:paraId="093563A5"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216E5047" w14:textId="4128CB11" w:rsidR="00A23480" w:rsidRPr="00B81CD9" w:rsidRDefault="00A23480" w:rsidP="00A23480">
            <w:pPr>
              <w:spacing w:line="240" w:lineRule="auto"/>
              <w:rPr>
                <w:color w:val="000000" w:themeColor="text1"/>
              </w:rPr>
            </w:pPr>
          </w:p>
        </w:tc>
        <w:tc>
          <w:tcPr>
            <w:tcW w:w="618" w:type="dxa"/>
          </w:tcPr>
          <w:p w14:paraId="285D06B8"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200A7E6C" w14:textId="5902ACFB" w:rsidR="00A23480" w:rsidRPr="00B81CD9" w:rsidRDefault="00A23480" w:rsidP="00A23480">
            <w:pPr>
              <w:spacing w:line="240" w:lineRule="auto"/>
              <w:rPr>
                <w:color w:val="000000" w:themeColor="text1"/>
              </w:rPr>
            </w:pPr>
          </w:p>
        </w:tc>
        <w:tc>
          <w:tcPr>
            <w:tcW w:w="625" w:type="dxa"/>
          </w:tcPr>
          <w:p w14:paraId="7AE57CA8"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4DA0CBC7" w14:textId="3382FCB0" w:rsidR="00A23480" w:rsidRPr="00B81CD9" w:rsidRDefault="00A23480" w:rsidP="00A23480">
            <w:pPr>
              <w:spacing w:line="240" w:lineRule="auto"/>
              <w:rPr>
                <w:color w:val="000000" w:themeColor="text1"/>
              </w:rPr>
            </w:pPr>
          </w:p>
        </w:tc>
        <w:tc>
          <w:tcPr>
            <w:tcW w:w="641" w:type="dxa"/>
          </w:tcPr>
          <w:p w14:paraId="74EA4BE9" w14:textId="75CBAAA5"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2CB66344" w14:textId="04740E1C" w:rsidR="00A23480" w:rsidRPr="00B81CD9" w:rsidRDefault="00A23480" w:rsidP="00A23480">
            <w:pPr>
              <w:spacing w:line="240" w:lineRule="auto"/>
              <w:rPr>
                <w:color w:val="000000" w:themeColor="text1"/>
              </w:rPr>
            </w:pPr>
          </w:p>
        </w:tc>
        <w:tc>
          <w:tcPr>
            <w:tcW w:w="675" w:type="dxa"/>
          </w:tcPr>
          <w:p w14:paraId="3F5F0CF9"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6C0AF69A" w14:textId="640B1D9C" w:rsidR="00A23480" w:rsidRPr="00B81CD9" w:rsidRDefault="00A23480" w:rsidP="00A23480">
            <w:pPr>
              <w:spacing w:line="240" w:lineRule="auto"/>
              <w:rPr>
                <w:color w:val="000000" w:themeColor="text1"/>
              </w:rPr>
            </w:pPr>
          </w:p>
        </w:tc>
        <w:tc>
          <w:tcPr>
            <w:tcW w:w="617" w:type="dxa"/>
          </w:tcPr>
          <w:p w14:paraId="04DCC31D" w14:textId="77777777" w:rsidR="00270181" w:rsidRPr="00B81CD9" w:rsidRDefault="00270181" w:rsidP="00270181">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BA3560C" w14:textId="08B52C5E" w:rsidR="00A23480" w:rsidRPr="00B81CD9" w:rsidRDefault="00A23480" w:rsidP="00A23480">
            <w:pPr>
              <w:spacing w:line="240" w:lineRule="auto"/>
              <w:rPr>
                <w:color w:val="000000" w:themeColor="text1"/>
              </w:rPr>
            </w:pPr>
          </w:p>
        </w:tc>
      </w:tr>
      <w:tr w:rsidR="00BF0879" w:rsidRPr="00B81CD9" w14:paraId="3F7A3818" w14:textId="77777777" w:rsidTr="00113332">
        <w:tc>
          <w:tcPr>
            <w:tcW w:w="1343" w:type="dxa"/>
          </w:tcPr>
          <w:p w14:paraId="3C5C1581" w14:textId="71C89A0C" w:rsidR="00A23480" w:rsidRPr="00B81CD9" w:rsidRDefault="00A23480" w:rsidP="00A23480">
            <w:pPr>
              <w:spacing w:line="240" w:lineRule="auto"/>
              <w:rPr>
                <w:color w:val="000000" w:themeColor="text1"/>
              </w:rPr>
            </w:pPr>
            <w:r w:rsidRPr="00B81CD9">
              <w:rPr>
                <w:color w:val="000000" w:themeColor="text1"/>
              </w:rPr>
              <w:t>Valerie Leipheimer</w:t>
            </w:r>
          </w:p>
        </w:tc>
        <w:tc>
          <w:tcPr>
            <w:tcW w:w="1471" w:type="dxa"/>
          </w:tcPr>
          <w:p w14:paraId="33B1D0C1" w14:textId="6A8FB2B6" w:rsidR="00A23480" w:rsidRPr="00B81CD9" w:rsidRDefault="00A23480" w:rsidP="00A23480">
            <w:pPr>
              <w:spacing w:line="240" w:lineRule="auto"/>
              <w:rPr>
                <w:color w:val="000000" w:themeColor="text1"/>
              </w:rPr>
            </w:pPr>
            <w:r w:rsidRPr="00B81CD9">
              <w:rPr>
                <w:color w:val="000000" w:themeColor="text1"/>
              </w:rPr>
              <w:t>Independent Governor</w:t>
            </w:r>
          </w:p>
        </w:tc>
        <w:tc>
          <w:tcPr>
            <w:tcW w:w="675" w:type="dxa"/>
          </w:tcPr>
          <w:p w14:paraId="7660225B"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47A23C40" w14:textId="550332A7" w:rsidR="00A23480" w:rsidRPr="00B81CD9" w:rsidRDefault="00A23480" w:rsidP="00A23480">
            <w:pPr>
              <w:spacing w:line="240" w:lineRule="auto"/>
              <w:rPr>
                <w:color w:val="000000" w:themeColor="text1"/>
              </w:rPr>
            </w:pPr>
          </w:p>
        </w:tc>
        <w:tc>
          <w:tcPr>
            <w:tcW w:w="618" w:type="dxa"/>
          </w:tcPr>
          <w:p w14:paraId="0244E6F5"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35EE4FAC" w14:textId="195D834E" w:rsidR="00A23480" w:rsidRPr="00B81CD9" w:rsidRDefault="00A23480" w:rsidP="00A23480">
            <w:pPr>
              <w:spacing w:line="240" w:lineRule="auto"/>
              <w:rPr>
                <w:color w:val="000000" w:themeColor="text1"/>
              </w:rPr>
            </w:pPr>
          </w:p>
        </w:tc>
        <w:tc>
          <w:tcPr>
            <w:tcW w:w="625" w:type="dxa"/>
          </w:tcPr>
          <w:p w14:paraId="50EC2959"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2734CF5" w14:textId="70E76173" w:rsidR="00A23480" w:rsidRPr="00B81CD9" w:rsidRDefault="00A23480" w:rsidP="00A23480">
            <w:pPr>
              <w:spacing w:line="240" w:lineRule="auto"/>
              <w:rPr>
                <w:color w:val="000000" w:themeColor="text1"/>
              </w:rPr>
            </w:pPr>
          </w:p>
        </w:tc>
        <w:tc>
          <w:tcPr>
            <w:tcW w:w="641" w:type="dxa"/>
          </w:tcPr>
          <w:p w14:paraId="538B313B"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6C5C13D1" w14:textId="1C6C5E8D" w:rsidR="00A23480" w:rsidRPr="00B81CD9" w:rsidRDefault="00A23480" w:rsidP="00A23480">
            <w:pPr>
              <w:spacing w:line="240" w:lineRule="auto"/>
              <w:rPr>
                <w:color w:val="000000" w:themeColor="text1"/>
              </w:rPr>
            </w:pPr>
          </w:p>
        </w:tc>
        <w:tc>
          <w:tcPr>
            <w:tcW w:w="675" w:type="dxa"/>
          </w:tcPr>
          <w:p w14:paraId="3C818240"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23711756" w14:textId="197BE468" w:rsidR="00A23480" w:rsidRPr="00B81CD9" w:rsidRDefault="00A23480" w:rsidP="00A23480">
            <w:pPr>
              <w:spacing w:line="240" w:lineRule="auto"/>
              <w:rPr>
                <w:color w:val="000000" w:themeColor="text1"/>
              </w:rPr>
            </w:pPr>
          </w:p>
        </w:tc>
        <w:tc>
          <w:tcPr>
            <w:tcW w:w="617" w:type="dxa"/>
          </w:tcPr>
          <w:p w14:paraId="2C109059" w14:textId="77777777" w:rsidR="00270181" w:rsidRPr="00B81CD9" w:rsidRDefault="00270181" w:rsidP="00270181">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449912FC" w14:textId="2973D416" w:rsidR="00A23480" w:rsidRPr="00B81CD9" w:rsidRDefault="00A23480" w:rsidP="00A23480">
            <w:pPr>
              <w:spacing w:line="240" w:lineRule="auto"/>
              <w:rPr>
                <w:color w:val="000000" w:themeColor="text1"/>
              </w:rPr>
            </w:pPr>
          </w:p>
        </w:tc>
      </w:tr>
      <w:tr w:rsidR="00BF0879" w:rsidRPr="00B81CD9" w14:paraId="7C951ABF" w14:textId="77777777" w:rsidTr="00113332">
        <w:tc>
          <w:tcPr>
            <w:tcW w:w="1343" w:type="dxa"/>
          </w:tcPr>
          <w:p w14:paraId="0D254543" w14:textId="77777777" w:rsidR="00A23480" w:rsidRPr="00B81CD9" w:rsidRDefault="00A23480" w:rsidP="00A23480">
            <w:pPr>
              <w:spacing w:line="240" w:lineRule="auto"/>
              <w:rPr>
                <w:color w:val="000000" w:themeColor="text1"/>
              </w:rPr>
            </w:pPr>
            <w:r w:rsidRPr="00B81CD9">
              <w:rPr>
                <w:color w:val="000000" w:themeColor="text1"/>
              </w:rPr>
              <w:t>Tracey Rob Perera</w:t>
            </w:r>
          </w:p>
          <w:p w14:paraId="655237B1" w14:textId="73B22D21" w:rsidR="00A23480" w:rsidRPr="00B81CD9" w:rsidRDefault="00A23480" w:rsidP="00A23480">
            <w:pPr>
              <w:spacing w:line="240" w:lineRule="auto"/>
              <w:rPr>
                <w:color w:val="000000" w:themeColor="text1"/>
              </w:rPr>
            </w:pPr>
          </w:p>
        </w:tc>
        <w:tc>
          <w:tcPr>
            <w:tcW w:w="1471" w:type="dxa"/>
          </w:tcPr>
          <w:p w14:paraId="1E2F6961" w14:textId="07B1ADB2" w:rsidR="00A23480" w:rsidRPr="00B81CD9" w:rsidRDefault="00A23480" w:rsidP="00A23480">
            <w:pPr>
              <w:spacing w:line="240" w:lineRule="auto"/>
              <w:rPr>
                <w:color w:val="000000" w:themeColor="text1"/>
              </w:rPr>
            </w:pPr>
            <w:r w:rsidRPr="00B81CD9">
              <w:rPr>
                <w:color w:val="000000" w:themeColor="text1"/>
              </w:rPr>
              <w:t>Co-opted</w:t>
            </w:r>
          </w:p>
        </w:tc>
        <w:tc>
          <w:tcPr>
            <w:tcW w:w="675" w:type="dxa"/>
          </w:tcPr>
          <w:p w14:paraId="060DC3C2"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BEA6D2E" w14:textId="76BB0496" w:rsidR="00A23480" w:rsidRPr="00B81CD9" w:rsidRDefault="00A23480" w:rsidP="00A23480">
            <w:pPr>
              <w:spacing w:line="240" w:lineRule="auto"/>
              <w:rPr>
                <w:color w:val="000000" w:themeColor="text1"/>
              </w:rPr>
            </w:pPr>
          </w:p>
        </w:tc>
        <w:tc>
          <w:tcPr>
            <w:tcW w:w="618" w:type="dxa"/>
          </w:tcPr>
          <w:p w14:paraId="111C6871"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0B6B475E" w14:textId="20272906" w:rsidR="00A23480" w:rsidRPr="00B81CD9" w:rsidRDefault="00A23480" w:rsidP="00A23480">
            <w:pPr>
              <w:spacing w:line="240" w:lineRule="auto"/>
              <w:rPr>
                <w:color w:val="000000" w:themeColor="text1"/>
              </w:rPr>
            </w:pPr>
          </w:p>
        </w:tc>
        <w:tc>
          <w:tcPr>
            <w:tcW w:w="625" w:type="dxa"/>
          </w:tcPr>
          <w:p w14:paraId="0EFB1FF7"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2D9DA9D5" w14:textId="779276BB" w:rsidR="00A23480" w:rsidRPr="00B81CD9" w:rsidRDefault="00A23480" w:rsidP="00A23480">
            <w:pPr>
              <w:spacing w:line="240" w:lineRule="auto"/>
              <w:rPr>
                <w:color w:val="000000" w:themeColor="text1"/>
              </w:rPr>
            </w:pPr>
          </w:p>
        </w:tc>
        <w:tc>
          <w:tcPr>
            <w:tcW w:w="641" w:type="dxa"/>
          </w:tcPr>
          <w:p w14:paraId="215E6777"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14890B33" w14:textId="245999C2" w:rsidR="00A23480" w:rsidRPr="00B81CD9" w:rsidRDefault="00A23480" w:rsidP="00A23480">
            <w:pPr>
              <w:spacing w:line="240" w:lineRule="auto"/>
              <w:rPr>
                <w:color w:val="000000" w:themeColor="text1"/>
              </w:rPr>
            </w:pPr>
          </w:p>
        </w:tc>
        <w:tc>
          <w:tcPr>
            <w:tcW w:w="675" w:type="dxa"/>
          </w:tcPr>
          <w:p w14:paraId="30B25D54" w14:textId="77777777" w:rsidR="00D26AB3" w:rsidRPr="00B81CD9" w:rsidRDefault="00D26AB3"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687F6D8E" w14:textId="40F6317D" w:rsidR="00A23480" w:rsidRPr="00B81CD9" w:rsidRDefault="00A23480" w:rsidP="00A23480">
            <w:pPr>
              <w:spacing w:line="240" w:lineRule="auto"/>
              <w:rPr>
                <w:color w:val="000000" w:themeColor="text1"/>
              </w:rPr>
            </w:pPr>
          </w:p>
        </w:tc>
        <w:tc>
          <w:tcPr>
            <w:tcW w:w="617" w:type="dxa"/>
          </w:tcPr>
          <w:p w14:paraId="127E6A98" w14:textId="77777777" w:rsidR="00270181" w:rsidRPr="00B81CD9" w:rsidRDefault="00270181" w:rsidP="00270181">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7B9ACC1B" w14:textId="5B9C23D6" w:rsidR="00A23480" w:rsidRPr="00B81CD9" w:rsidRDefault="00A23480" w:rsidP="00A23480">
            <w:pPr>
              <w:spacing w:line="240" w:lineRule="auto"/>
              <w:rPr>
                <w:color w:val="000000" w:themeColor="text1"/>
              </w:rPr>
            </w:pPr>
          </w:p>
        </w:tc>
      </w:tr>
      <w:tr w:rsidR="00BF0879" w:rsidRPr="00B81CD9" w14:paraId="3612A562" w14:textId="77777777" w:rsidTr="00113332">
        <w:tc>
          <w:tcPr>
            <w:tcW w:w="1343" w:type="dxa"/>
          </w:tcPr>
          <w:p w14:paraId="4FC4926B" w14:textId="2B92193B" w:rsidR="00A23480" w:rsidRPr="00B81CD9" w:rsidRDefault="00A23480" w:rsidP="00A23480">
            <w:pPr>
              <w:spacing w:line="240" w:lineRule="auto"/>
              <w:rPr>
                <w:color w:val="000000" w:themeColor="text1"/>
              </w:rPr>
            </w:pPr>
            <w:r w:rsidRPr="00B81CD9">
              <w:rPr>
                <w:color w:val="000000" w:themeColor="text1"/>
              </w:rPr>
              <w:t>Usman Khan</w:t>
            </w:r>
          </w:p>
        </w:tc>
        <w:tc>
          <w:tcPr>
            <w:tcW w:w="1471" w:type="dxa"/>
          </w:tcPr>
          <w:p w14:paraId="4331F148" w14:textId="24E62E98" w:rsidR="00A23480" w:rsidRPr="00B81CD9" w:rsidRDefault="00A23480" w:rsidP="00A23480">
            <w:pPr>
              <w:spacing w:line="240" w:lineRule="auto"/>
              <w:rPr>
                <w:color w:val="000000" w:themeColor="text1"/>
              </w:rPr>
            </w:pPr>
            <w:r w:rsidRPr="00B81CD9">
              <w:rPr>
                <w:color w:val="000000" w:themeColor="text1"/>
              </w:rPr>
              <w:t>Independent Governor</w:t>
            </w:r>
          </w:p>
        </w:tc>
        <w:tc>
          <w:tcPr>
            <w:tcW w:w="675" w:type="dxa"/>
          </w:tcPr>
          <w:p w14:paraId="691C1BB7"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6E022BE6" w14:textId="7FABD91D" w:rsidR="00A23480" w:rsidRPr="00B81CD9" w:rsidRDefault="00A23480" w:rsidP="00A23480">
            <w:pPr>
              <w:spacing w:line="240" w:lineRule="auto"/>
              <w:rPr>
                <w:color w:val="000000" w:themeColor="text1"/>
              </w:rPr>
            </w:pPr>
          </w:p>
        </w:tc>
        <w:tc>
          <w:tcPr>
            <w:tcW w:w="618" w:type="dxa"/>
          </w:tcPr>
          <w:p w14:paraId="09DF5E8B"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645B011A" w14:textId="4DA027C7" w:rsidR="00A23480" w:rsidRPr="00B81CD9" w:rsidRDefault="00A23480" w:rsidP="00A23480">
            <w:pPr>
              <w:spacing w:line="240" w:lineRule="auto"/>
              <w:rPr>
                <w:color w:val="000000" w:themeColor="text1"/>
              </w:rPr>
            </w:pPr>
          </w:p>
        </w:tc>
        <w:tc>
          <w:tcPr>
            <w:tcW w:w="625" w:type="dxa"/>
          </w:tcPr>
          <w:p w14:paraId="49952CD3"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24627AD" w14:textId="3F62D55D" w:rsidR="00A23480" w:rsidRPr="00B81CD9" w:rsidRDefault="00A23480" w:rsidP="00A23480">
            <w:pPr>
              <w:spacing w:line="240" w:lineRule="auto"/>
              <w:rPr>
                <w:color w:val="000000" w:themeColor="text1"/>
              </w:rPr>
            </w:pPr>
          </w:p>
        </w:tc>
        <w:tc>
          <w:tcPr>
            <w:tcW w:w="641" w:type="dxa"/>
          </w:tcPr>
          <w:p w14:paraId="1DEC9461"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286CDA89" w14:textId="7D2F8DA3" w:rsidR="00A23480" w:rsidRPr="00B81CD9" w:rsidRDefault="00A23480" w:rsidP="00A23480">
            <w:pPr>
              <w:spacing w:line="240" w:lineRule="auto"/>
              <w:rPr>
                <w:color w:val="000000" w:themeColor="text1"/>
              </w:rPr>
            </w:pPr>
          </w:p>
        </w:tc>
        <w:tc>
          <w:tcPr>
            <w:tcW w:w="675" w:type="dxa"/>
          </w:tcPr>
          <w:p w14:paraId="73088691" w14:textId="2340D2C9" w:rsidR="00A23480" w:rsidRPr="00B81CD9" w:rsidRDefault="002D0327" w:rsidP="00A23480">
            <w:pPr>
              <w:spacing w:line="240" w:lineRule="auto"/>
              <w:rPr>
                <w:color w:val="000000" w:themeColor="text1"/>
              </w:rPr>
            </w:pPr>
            <w:r w:rsidRPr="00B81CD9">
              <w:rPr>
                <w:color w:val="000000" w:themeColor="text1"/>
              </w:rPr>
              <w:t>n/a</w:t>
            </w:r>
          </w:p>
        </w:tc>
        <w:tc>
          <w:tcPr>
            <w:tcW w:w="617" w:type="dxa"/>
          </w:tcPr>
          <w:p w14:paraId="291F6FD9" w14:textId="7E54926D" w:rsidR="00A23480" w:rsidRPr="00B81CD9" w:rsidRDefault="002D0327" w:rsidP="00A23480">
            <w:pPr>
              <w:spacing w:line="240" w:lineRule="auto"/>
              <w:rPr>
                <w:color w:val="000000" w:themeColor="text1"/>
              </w:rPr>
            </w:pPr>
            <w:r w:rsidRPr="00B81CD9">
              <w:rPr>
                <w:color w:val="000000" w:themeColor="text1"/>
              </w:rPr>
              <w:t>n/a</w:t>
            </w:r>
          </w:p>
        </w:tc>
      </w:tr>
      <w:tr w:rsidR="00BF0879" w:rsidRPr="00B81CD9" w14:paraId="6343BC97" w14:textId="77777777" w:rsidTr="00113332">
        <w:tc>
          <w:tcPr>
            <w:tcW w:w="1343" w:type="dxa"/>
          </w:tcPr>
          <w:p w14:paraId="6D6858D0" w14:textId="77777777" w:rsidR="00A23480" w:rsidRPr="00B81CD9" w:rsidRDefault="00A23480" w:rsidP="00A23480">
            <w:pPr>
              <w:spacing w:line="240" w:lineRule="auto"/>
              <w:rPr>
                <w:color w:val="000000" w:themeColor="text1"/>
              </w:rPr>
            </w:pPr>
            <w:r w:rsidRPr="00B81CD9">
              <w:rPr>
                <w:color w:val="000000" w:themeColor="text1"/>
              </w:rPr>
              <w:t>Andrea Stark</w:t>
            </w:r>
          </w:p>
          <w:p w14:paraId="19696A0D" w14:textId="29D75352" w:rsidR="00A23480" w:rsidRPr="00B81CD9" w:rsidRDefault="00A23480" w:rsidP="00A23480">
            <w:pPr>
              <w:spacing w:line="240" w:lineRule="auto"/>
              <w:rPr>
                <w:color w:val="000000" w:themeColor="text1"/>
              </w:rPr>
            </w:pPr>
          </w:p>
        </w:tc>
        <w:tc>
          <w:tcPr>
            <w:tcW w:w="1471" w:type="dxa"/>
          </w:tcPr>
          <w:p w14:paraId="7C162F63" w14:textId="710A8039" w:rsidR="00A23480" w:rsidRPr="00B81CD9" w:rsidRDefault="00A23480" w:rsidP="00A23480">
            <w:pPr>
              <w:spacing w:line="240" w:lineRule="auto"/>
              <w:rPr>
                <w:color w:val="000000" w:themeColor="text1"/>
              </w:rPr>
            </w:pPr>
            <w:r w:rsidRPr="00B81CD9">
              <w:rPr>
                <w:color w:val="000000" w:themeColor="text1"/>
              </w:rPr>
              <w:t>Independent Governor</w:t>
            </w:r>
          </w:p>
        </w:tc>
        <w:tc>
          <w:tcPr>
            <w:tcW w:w="675" w:type="dxa"/>
          </w:tcPr>
          <w:p w14:paraId="2D0CCD3C"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A24F1C8" w14:textId="04A62012" w:rsidR="00A23480" w:rsidRPr="00B81CD9" w:rsidRDefault="00A23480" w:rsidP="00A23480">
            <w:pPr>
              <w:spacing w:line="240" w:lineRule="auto"/>
              <w:rPr>
                <w:color w:val="000000" w:themeColor="text1"/>
              </w:rPr>
            </w:pPr>
          </w:p>
        </w:tc>
        <w:tc>
          <w:tcPr>
            <w:tcW w:w="618" w:type="dxa"/>
          </w:tcPr>
          <w:p w14:paraId="593AA368"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65C7991" w14:textId="16FA6CA8" w:rsidR="00A23480" w:rsidRPr="00B81CD9" w:rsidRDefault="00A23480" w:rsidP="00A23480">
            <w:pPr>
              <w:spacing w:line="240" w:lineRule="auto"/>
              <w:rPr>
                <w:color w:val="000000" w:themeColor="text1"/>
              </w:rPr>
            </w:pPr>
          </w:p>
        </w:tc>
        <w:tc>
          <w:tcPr>
            <w:tcW w:w="625" w:type="dxa"/>
          </w:tcPr>
          <w:p w14:paraId="5305F808"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54B0AFE1" w14:textId="3C45261F" w:rsidR="00A23480" w:rsidRPr="00B81CD9" w:rsidRDefault="00A23480" w:rsidP="00A23480">
            <w:pPr>
              <w:spacing w:line="240" w:lineRule="auto"/>
              <w:rPr>
                <w:color w:val="000000" w:themeColor="text1"/>
              </w:rPr>
            </w:pPr>
          </w:p>
        </w:tc>
        <w:tc>
          <w:tcPr>
            <w:tcW w:w="641" w:type="dxa"/>
          </w:tcPr>
          <w:p w14:paraId="18050EF4" w14:textId="77777777" w:rsidR="00D26AB3" w:rsidRPr="00B81CD9" w:rsidRDefault="00D26AB3"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9581C7D" w14:textId="192E502D" w:rsidR="00A23480" w:rsidRPr="00B81CD9" w:rsidRDefault="00A23480" w:rsidP="00A23480">
            <w:pPr>
              <w:spacing w:line="240" w:lineRule="auto"/>
              <w:rPr>
                <w:color w:val="000000" w:themeColor="text1"/>
              </w:rPr>
            </w:pPr>
          </w:p>
        </w:tc>
        <w:tc>
          <w:tcPr>
            <w:tcW w:w="675" w:type="dxa"/>
          </w:tcPr>
          <w:p w14:paraId="6449A167" w14:textId="6E065476" w:rsidR="00A23480" w:rsidRPr="00B81CD9" w:rsidRDefault="002D0327" w:rsidP="00A23480">
            <w:pPr>
              <w:spacing w:line="240" w:lineRule="auto"/>
              <w:rPr>
                <w:color w:val="000000" w:themeColor="text1"/>
              </w:rPr>
            </w:pPr>
            <w:r w:rsidRPr="00B81CD9">
              <w:rPr>
                <w:color w:val="000000" w:themeColor="text1"/>
              </w:rPr>
              <w:t>n/a</w:t>
            </w:r>
          </w:p>
        </w:tc>
        <w:tc>
          <w:tcPr>
            <w:tcW w:w="617" w:type="dxa"/>
          </w:tcPr>
          <w:p w14:paraId="77C1DCE2" w14:textId="50180A25" w:rsidR="00A23480" w:rsidRPr="00B81CD9" w:rsidRDefault="002D0327" w:rsidP="00A23480">
            <w:pPr>
              <w:spacing w:line="240" w:lineRule="auto"/>
              <w:rPr>
                <w:color w:val="000000" w:themeColor="text1"/>
              </w:rPr>
            </w:pPr>
            <w:r w:rsidRPr="00B81CD9">
              <w:rPr>
                <w:color w:val="000000" w:themeColor="text1"/>
              </w:rPr>
              <w:t>n/a</w:t>
            </w:r>
          </w:p>
        </w:tc>
      </w:tr>
      <w:tr w:rsidR="00113332" w:rsidRPr="00B81CD9" w14:paraId="37A9D189" w14:textId="77777777" w:rsidTr="00113332">
        <w:tc>
          <w:tcPr>
            <w:tcW w:w="1343" w:type="dxa"/>
          </w:tcPr>
          <w:p w14:paraId="4CDC0B0E" w14:textId="50E036E9" w:rsidR="00113332" w:rsidRPr="00B81CD9" w:rsidRDefault="00113332" w:rsidP="00A23480">
            <w:pPr>
              <w:spacing w:line="240" w:lineRule="auto"/>
              <w:rPr>
                <w:color w:val="000000" w:themeColor="text1"/>
              </w:rPr>
            </w:pPr>
            <w:proofErr w:type="spellStart"/>
            <w:r>
              <w:rPr>
                <w:color w:val="000000" w:themeColor="text1"/>
              </w:rPr>
              <w:t>Urmi</w:t>
            </w:r>
            <w:proofErr w:type="spellEnd"/>
            <w:r>
              <w:rPr>
                <w:color w:val="000000" w:themeColor="text1"/>
              </w:rPr>
              <w:t xml:space="preserve"> Dutta-Roy</w:t>
            </w:r>
          </w:p>
        </w:tc>
        <w:tc>
          <w:tcPr>
            <w:tcW w:w="1471" w:type="dxa"/>
          </w:tcPr>
          <w:p w14:paraId="30A0E3B1" w14:textId="0FEBECD6" w:rsidR="00113332" w:rsidRPr="00B81CD9" w:rsidRDefault="00113332" w:rsidP="00A23480">
            <w:pPr>
              <w:spacing w:line="240" w:lineRule="auto"/>
              <w:rPr>
                <w:color w:val="000000" w:themeColor="text1"/>
              </w:rPr>
            </w:pPr>
            <w:r>
              <w:rPr>
                <w:color w:val="000000" w:themeColor="text1"/>
              </w:rPr>
              <w:t xml:space="preserve">Independent Governor </w:t>
            </w:r>
          </w:p>
        </w:tc>
        <w:tc>
          <w:tcPr>
            <w:tcW w:w="675" w:type="dxa"/>
          </w:tcPr>
          <w:p w14:paraId="274BBB58" w14:textId="3E1ACA04"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color w:val="000000" w:themeColor="text1"/>
              </w:rPr>
              <w:t>n/a </w:t>
            </w:r>
          </w:p>
        </w:tc>
        <w:tc>
          <w:tcPr>
            <w:tcW w:w="618" w:type="dxa"/>
          </w:tcPr>
          <w:p w14:paraId="1F5EE1BB" w14:textId="18D2A9FA"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color w:val="000000" w:themeColor="text1"/>
              </w:rPr>
              <w:t>n/a </w:t>
            </w:r>
          </w:p>
        </w:tc>
        <w:tc>
          <w:tcPr>
            <w:tcW w:w="625" w:type="dxa"/>
          </w:tcPr>
          <w:p w14:paraId="160696B5" w14:textId="2D02F110"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color w:val="000000" w:themeColor="text1"/>
              </w:rPr>
              <w:t>n/a </w:t>
            </w:r>
          </w:p>
        </w:tc>
        <w:tc>
          <w:tcPr>
            <w:tcW w:w="641" w:type="dxa"/>
          </w:tcPr>
          <w:p w14:paraId="15D05414" w14:textId="44CD1058"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color w:val="000000" w:themeColor="text1"/>
              </w:rPr>
              <w:t>n/a </w:t>
            </w:r>
          </w:p>
        </w:tc>
        <w:tc>
          <w:tcPr>
            <w:tcW w:w="675" w:type="dxa"/>
          </w:tcPr>
          <w:p w14:paraId="3C224D0D" w14:textId="77777777" w:rsidR="00113332" w:rsidRPr="00B81CD9" w:rsidRDefault="00113332" w:rsidP="00E860D4">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4365130" w14:textId="77777777" w:rsidR="00113332" w:rsidRPr="00B81CD9" w:rsidRDefault="00113332" w:rsidP="00A23480">
            <w:pPr>
              <w:spacing w:line="240" w:lineRule="auto"/>
              <w:rPr>
                <w:color w:val="000000" w:themeColor="text1"/>
              </w:rPr>
            </w:pPr>
          </w:p>
        </w:tc>
        <w:tc>
          <w:tcPr>
            <w:tcW w:w="617" w:type="dxa"/>
          </w:tcPr>
          <w:p w14:paraId="75968A61" w14:textId="77777777" w:rsidR="00113332" w:rsidRPr="00B81CD9" w:rsidRDefault="00113332" w:rsidP="00E860D4">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62D59B0B" w14:textId="77777777" w:rsidR="00113332" w:rsidRPr="00B81CD9" w:rsidRDefault="00113332" w:rsidP="00A23480">
            <w:pPr>
              <w:spacing w:line="240" w:lineRule="auto"/>
              <w:rPr>
                <w:color w:val="000000" w:themeColor="text1"/>
              </w:rPr>
            </w:pPr>
          </w:p>
        </w:tc>
      </w:tr>
      <w:tr w:rsidR="00113332" w:rsidRPr="00B81CD9" w14:paraId="0077A0A7" w14:textId="77777777" w:rsidTr="00113332">
        <w:tc>
          <w:tcPr>
            <w:tcW w:w="1343" w:type="dxa"/>
          </w:tcPr>
          <w:p w14:paraId="29566101" w14:textId="77777777" w:rsidR="00113332" w:rsidRPr="00B81CD9" w:rsidRDefault="00113332" w:rsidP="00A23480">
            <w:pPr>
              <w:spacing w:line="240" w:lineRule="auto"/>
              <w:rPr>
                <w:color w:val="000000" w:themeColor="text1"/>
              </w:rPr>
            </w:pPr>
            <w:r w:rsidRPr="00B81CD9">
              <w:rPr>
                <w:color w:val="000000" w:themeColor="text1"/>
              </w:rPr>
              <w:t xml:space="preserve">Awesome </w:t>
            </w:r>
            <w:proofErr w:type="spellStart"/>
            <w:r w:rsidRPr="00B81CD9">
              <w:rPr>
                <w:color w:val="000000" w:themeColor="text1"/>
              </w:rPr>
              <w:t>Olasope</w:t>
            </w:r>
            <w:proofErr w:type="spellEnd"/>
          </w:p>
          <w:p w14:paraId="6F276A5C" w14:textId="2EE26692" w:rsidR="00113332" w:rsidRPr="00B81CD9" w:rsidRDefault="00113332" w:rsidP="00A23480">
            <w:pPr>
              <w:spacing w:line="240" w:lineRule="auto"/>
              <w:rPr>
                <w:color w:val="000000" w:themeColor="text1"/>
              </w:rPr>
            </w:pPr>
          </w:p>
        </w:tc>
        <w:tc>
          <w:tcPr>
            <w:tcW w:w="1471" w:type="dxa"/>
          </w:tcPr>
          <w:p w14:paraId="56282DA7" w14:textId="592B1E63" w:rsidR="00113332" w:rsidRPr="00B81CD9" w:rsidRDefault="00113332" w:rsidP="00A23480">
            <w:pPr>
              <w:spacing w:line="240" w:lineRule="auto"/>
              <w:rPr>
                <w:color w:val="000000" w:themeColor="text1"/>
              </w:rPr>
            </w:pPr>
            <w:r w:rsidRPr="00B81CD9">
              <w:rPr>
                <w:color w:val="000000" w:themeColor="text1"/>
              </w:rPr>
              <w:t>Student Governor</w:t>
            </w:r>
          </w:p>
        </w:tc>
        <w:tc>
          <w:tcPr>
            <w:tcW w:w="675" w:type="dxa"/>
          </w:tcPr>
          <w:p w14:paraId="6112E5F5"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5E6C3E9A" w14:textId="74290483" w:rsidR="00113332" w:rsidRPr="00B81CD9" w:rsidRDefault="00113332" w:rsidP="00A23480">
            <w:pPr>
              <w:spacing w:line="240" w:lineRule="auto"/>
              <w:rPr>
                <w:color w:val="000000" w:themeColor="text1"/>
              </w:rPr>
            </w:pPr>
          </w:p>
        </w:tc>
        <w:tc>
          <w:tcPr>
            <w:tcW w:w="618" w:type="dxa"/>
          </w:tcPr>
          <w:p w14:paraId="399BAD5D"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9AA791A" w14:textId="649F1BB6" w:rsidR="00113332" w:rsidRPr="00B81CD9" w:rsidRDefault="00113332" w:rsidP="00A23480">
            <w:pPr>
              <w:spacing w:line="240" w:lineRule="auto"/>
              <w:rPr>
                <w:color w:val="000000" w:themeColor="text1"/>
              </w:rPr>
            </w:pPr>
          </w:p>
        </w:tc>
        <w:tc>
          <w:tcPr>
            <w:tcW w:w="625" w:type="dxa"/>
          </w:tcPr>
          <w:p w14:paraId="270938AE"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BF4CE83" w14:textId="48E1CACF" w:rsidR="00113332" w:rsidRPr="00B81CD9" w:rsidRDefault="00113332" w:rsidP="00A23480">
            <w:pPr>
              <w:spacing w:line="240" w:lineRule="auto"/>
              <w:rPr>
                <w:color w:val="000000" w:themeColor="text1"/>
              </w:rPr>
            </w:pPr>
          </w:p>
        </w:tc>
        <w:tc>
          <w:tcPr>
            <w:tcW w:w="641" w:type="dxa"/>
          </w:tcPr>
          <w:p w14:paraId="151B6595"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19A33901" w14:textId="6B5BCFF0" w:rsidR="00113332" w:rsidRPr="00B81CD9" w:rsidRDefault="00113332" w:rsidP="00A23480">
            <w:pPr>
              <w:spacing w:line="240" w:lineRule="auto"/>
              <w:rPr>
                <w:color w:val="000000" w:themeColor="text1"/>
              </w:rPr>
            </w:pPr>
          </w:p>
        </w:tc>
        <w:tc>
          <w:tcPr>
            <w:tcW w:w="675" w:type="dxa"/>
          </w:tcPr>
          <w:p w14:paraId="25CEA4CC" w14:textId="17B7F6CA" w:rsidR="00113332" w:rsidRPr="00B81CD9" w:rsidRDefault="00113332" w:rsidP="00A23480">
            <w:pPr>
              <w:spacing w:line="240" w:lineRule="auto"/>
              <w:rPr>
                <w:color w:val="000000" w:themeColor="text1"/>
              </w:rPr>
            </w:pPr>
            <w:r w:rsidRPr="00B81CD9">
              <w:rPr>
                <w:color w:val="000000" w:themeColor="text1"/>
              </w:rPr>
              <w:t>n/a</w:t>
            </w:r>
          </w:p>
        </w:tc>
        <w:tc>
          <w:tcPr>
            <w:tcW w:w="617" w:type="dxa"/>
          </w:tcPr>
          <w:p w14:paraId="0394D9E4" w14:textId="141E840C" w:rsidR="00113332" w:rsidRPr="00B81CD9" w:rsidRDefault="00113332" w:rsidP="00A23480">
            <w:pPr>
              <w:spacing w:line="240" w:lineRule="auto"/>
              <w:rPr>
                <w:color w:val="000000" w:themeColor="text1"/>
              </w:rPr>
            </w:pPr>
            <w:r w:rsidRPr="00B81CD9">
              <w:rPr>
                <w:color w:val="000000" w:themeColor="text1"/>
              </w:rPr>
              <w:t>n/a</w:t>
            </w:r>
          </w:p>
        </w:tc>
      </w:tr>
      <w:tr w:rsidR="00113332" w:rsidRPr="00B81CD9" w14:paraId="12A8A69A" w14:textId="77777777" w:rsidTr="00113332">
        <w:tc>
          <w:tcPr>
            <w:tcW w:w="1343" w:type="dxa"/>
          </w:tcPr>
          <w:p w14:paraId="112BE1A3" w14:textId="7CF865FF" w:rsidR="00113332" w:rsidRPr="00B81CD9" w:rsidRDefault="00113332" w:rsidP="004E0E79">
            <w:pPr>
              <w:spacing w:line="240" w:lineRule="auto"/>
              <w:rPr>
                <w:color w:val="000000" w:themeColor="text1"/>
              </w:rPr>
            </w:pPr>
            <w:r w:rsidRPr="00B81CD9">
              <w:rPr>
                <w:color w:val="000000" w:themeColor="text1"/>
              </w:rPr>
              <w:t>Claire Locke</w:t>
            </w:r>
          </w:p>
        </w:tc>
        <w:tc>
          <w:tcPr>
            <w:tcW w:w="1471" w:type="dxa"/>
          </w:tcPr>
          <w:p w14:paraId="2A718D83" w14:textId="77777777" w:rsidR="00113332" w:rsidRPr="00B81CD9" w:rsidRDefault="00113332" w:rsidP="004E0E79">
            <w:pPr>
              <w:spacing w:line="240" w:lineRule="auto"/>
              <w:rPr>
                <w:color w:val="000000" w:themeColor="text1"/>
              </w:rPr>
            </w:pPr>
            <w:r w:rsidRPr="00B81CD9">
              <w:rPr>
                <w:color w:val="000000" w:themeColor="text1"/>
              </w:rPr>
              <w:t>Staff Governor</w:t>
            </w:r>
          </w:p>
          <w:p w14:paraId="5B7BF1B2" w14:textId="5D03C517" w:rsidR="00113332" w:rsidRPr="00B81CD9" w:rsidRDefault="00113332" w:rsidP="004E0E79">
            <w:pPr>
              <w:spacing w:line="240" w:lineRule="auto"/>
              <w:rPr>
                <w:color w:val="000000" w:themeColor="text1"/>
              </w:rPr>
            </w:pPr>
          </w:p>
        </w:tc>
        <w:tc>
          <w:tcPr>
            <w:tcW w:w="675" w:type="dxa"/>
          </w:tcPr>
          <w:p w14:paraId="3CF41E71" w14:textId="1D61AA6F" w:rsidR="00113332" w:rsidRPr="00B81CD9" w:rsidRDefault="00113332" w:rsidP="004E0E79">
            <w:pPr>
              <w:spacing w:line="240" w:lineRule="auto"/>
              <w:rPr>
                <w:color w:val="000000" w:themeColor="text1"/>
              </w:rPr>
            </w:pPr>
            <w:r w:rsidRPr="00B81CD9">
              <w:rPr>
                <w:color w:val="000000" w:themeColor="text1"/>
              </w:rPr>
              <w:t>n/a </w:t>
            </w:r>
          </w:p>
        </w:tc>
        <w:tc>
          <w:tcPr>
            <w:tcW w:w="618" w:type="dxa"/>
          </w:tcPr>
          <w:p w14:paraId="2B6FFCE0" w14:textId="77777777" w:rsidR="00113332" w:rsidRPr="00B81CD9" w:rsidRDefault="00113332" w:rsidP="00D26AB3">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7C40BAA6" w14:textId="0114DCFD" w:rsidR="00113332" w:rsidRPr="00B81CD9" w:rsidRDefault="00113332" w:rsidP="004E0E79">
            <w:pPr>
              <w:spacing w:line="240" w:lineRule="auto"/>
              <w:rPr>
                <w:color w:val="000000" w:themeColor="text1"/>
              </w:rPr>
            </w:pPr>
          </w:p>
        </w:tc>
        <w:tc>
          <w:tcPr>
            <w:tcW w:w="625" w:type="dxa"/>
          </w:tcPr>
          <w:p w14:paraId="27D022A9"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5A457E32" w14:textId="3B3684CB" w:rsidR="00113332" w:rsidRPr="00B81CD9" w:rsidRDefault="00113332" w:rsidP="00FF6810">
            <w:pPr>
              <w:spacing w:line="240" w:lineRule="auto"/>
              <w:rPr>
                <w:color w:val="000000" w:themeColor="text1"/>
              </w:rPr>
            </w:pPr>
          </w:p>
        </w:tc>
        <w:tc>
          <w:tcPr>
            <w:tcW w:w="641" w:type="dxa"/>
          </w:tcPr>
          <w:p w14:paraId="5714CEC8"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370722CD" w14:textId="0310489C" w:rsidR="00113332" w:rsidRPr="00B81CD9" w:rsidRDefault="00113332" w:rsidP="004E0E79">
            <w:pPr>
              <w:spacing w:line="240" w:lineRule="auto"/>
              <w:rPr>
                <w:color w:val="000000" w:themeColor="text1"/>
              </w:rPr>
            </w:pPr>
          </w:p>
        </w:tc>
        <w:tc>
          <w:tcPr>
            <w:tcW w:w="675" w:type="dxa"/>
          </w:tcPr>
          <w:p w14:paraId="4CAE18D2"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27CED5C3" w14:textId="6564E96C" w:rsidR="00113332" w:rsidRPr="00B81CD9" w:rsidRDefault="00113332" w:rsidP="004E0E79">
            <w:pPr>
              <w:spacing w:line="240" w:lineRule="auto"/>
              <w:rPr>
                <w:rFonts w:ascii="Wingdings" w:eastAsia="Wingdings" w:hAnsi="Wingdings" w:cs="Wingdings"/>
                <w:color w:val="000000" w:themeColor="text1"/>
              </w:rPr>
            </w:pPr>
          </w:p>
        </w:tc>
        <w:tc>
          <w:tcPr>
            <w:tcW w:w="617" w:type="dxa"/>
          </w:tcPr>
          <w:p w14:paraId="2D648AE9" w14:textId="77777777" w:rsidR="00113332" w:rsidRPr="00B81CD9" w:rsidRDefault="00113332" w:rsidP="00270181">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44EB51A9" w14:textId="77777777" w:rsidR="00113332" w:rsidRPr="00B81CD9" w:rsidRDefault="00113332" w:rsidP="004E0E79">
            <w:pPr>
              <w:spacing w:line="240" w:lineRule="auto"/>
              <w:rPr>
                <w:rFonts w:ascii="Wingdings" w:eastAsia="Wingdings" w:hAnsi="Wingdings" w:cs="Wingdings"/>
                <w:color w:val="000000" w:themeColor="text1"/>
              </w:rPr>
            </w:pPr>
          </w:p>
        </w:tc>
      </w:tr>
      <w:tr w:rsidR="00113332" w:rsidRPr="00B81CD9" w14:paraId="5AE7BC54" w14:textId="77777777" w:rsidTr="00113332">
        <w:tc>
          <w:tcPr>
            <w:tcW w:w="1343" w:type="dxa"/>
          </w:tcPr>
          <w:p w14:paraId="56DFCA75" w14:textId="77777777" w:rsidR="00113332" w:rsidRPr="00B81CD9" w:rsidRDefault="00113332" w:rsidP="004E0E79">
            <w:pPr>
              <w:spacing w:line="240" w:lineRule="auto"/>
              <w:rPr>
                <w:color w:val="000000" w:themeColor="text1"/>
              </w:rPr>
            </w:pPr>
            <w:proofErr w:type="spellStart"/>
            <w:r w:rsidRPr="00B81CD9">
              <w:rPr>
                <w:color w:val="000000" w:themeColor="text1"/>
              </w:rPr>
              <w:t>Rajjo</w:t>
            </w:r>
            <w:proofErr w:type="spellEnd"/>
            <w:r w:rsidRPr="00B81CD9">
              <w:rPr>
                <w:color w:val="000000" w:themeColor="text1"/>
              </w:rPr>
              <w:t xml:space="preserve"> </w:t>
            </w:r>
            <w:proofErr w:type="spellStart"/>
            <w:r w:rsidRPr="00B81CD9">
              <w:rPr>
                <w:color w:val="000000" w:themeColor="text1"/>
              </w:rPr>
              <w:t>Mondol</w:t>
            </w:r>
            <w:proofErr w:type="spellEnd"/>
            <w:r w:rsidRPr="00B81CD9">
              <w:rPr>
                <w:color w:val="000000" w:themeColor="text1"/>
              </w:rPr>
              <w:t xml:space="preserve"> </w:t>
            </w:r>
          </w:p>
          <w:p w14:paraId="5241A0E0" w14:textId="69D3A587" w:rsidR="00113332" w:rsidRPr="00B81CD9" w:rsidRDefault="00113332" w:rsidP="004E0E79">
            <w:pPr>
              <w:spacing w:line="240" w:lineRule="auto"/>
              <w:rPr>
                <w:color w:val="000000" w:themeColor="text1"/>
              </w:rPr>
            </w:pPr>
          </w:p>
        </w:tc>
        <w:tc>
          <w:tcPr>
            <w:tcW w:w="1471" w:type="dxa"/>
          </w:tcPr>
          <w:p w14:paraId="3AC5976E" w14:textId="794C6A5E" w:rsidR="00113332" w:rsidRPr="00B81CD9" w:rsidRDefault="00113332" w:rsidP="004E0E79">
            <w:pPr>
              <w:spacing w:line="240" w:lineRule="auto"/>
              <w:rPr>
                <w:color w:val="000000" w:themeColor="text1"/>
              </w:rPr>
            </w:pPr>
            <w:r w:rsidRPr="00B81CD9">
              <w:rPr>
                <w:color w:val="000000" w:themeColor="text1"/>
              </w:rPr>
              <w:t>Student Governor</w:t>
            </w:r>
          </w:p>
        </w:tc>
        <w:tc>
          <w:tcPr>
            <w:tcW w:w="675" w:type="dxa"/>
          </w:tcPr>
          <w:p w14:paraId="494F1992" w14:textId="0C70B549" w:rsidR="00113332" w:rsidRPr="00B81CD9" w:rsidRDefault="00113332" w:rsidP="004E0E79">
            <w:pPr>
              <w:spacing w:line="240" w:lineRule="auto"/>
              <w:rPr>
                <w:color w:val="000000" w:themeColor="text1"/>
              </w:rPr>
            </w:pPr>
            <w:r w:rsidRPr="00B81CD9">
              <w:rPr>
                <w:color w:val="000000" w:themeColor="text1"/>
              </w:rPr>
              <w:t>n/a</w:t>
            </w:r>
          </w:p>
        </w:tc>
        <w:tc>
          <w:tcPr>
            <w:tcW w:w="618" w:type="dxa"/>
          </w:tcPr>
          <w:p w14:paraId="7A94E23B" w14:textId="5AE7618C" w:rsidR="00113332" w:rsidRPr="00B81CD9" w:rsidRDefault="00113332" w:rsidP="004E0E79">
            <w:pPr>
              <w:spacing w:line="240" w:lineRule="auto"/>
              <w:rPr>
                <w:color w:val="000000" w:themeColor="text1"/>
              </w:rPr>
            </w:pPr>
            <w:r w:rsidRPr="00B81CD9">
              <w:rPr>
                <w:color w:val="000000" w:themeColor="text1"/>
              </w:rPr>
              <w:t>n/a</w:t>
            </w:r>
          </w:p>
        </w:tc>
        <w:tc>
          <w:tcPr>
            <w:tcW w:w="625" w:type="dxa"/>
          </w:tcPr>
          <w:p w14:paraId="3CB7FCBA" w14:textId="79962241" w:rsidR="00113332" w:rsidRPr="00B81CD9" w:rsidRDefault="00113332" w:rsidP="00FF6810">
            <w:pPr>
              <w:spacing w:line="240" w:lineRule="auto"/>
              <w:rPr>
                <w:color w:val="000000" w:themeColor="text1"/>
              </w:rPr>
            </w:pPr>
            <w:r w:rsidRPr="00B81CD9">
              <w:rPr>
                <w:color w:val="000000" w:themeColor="text1"/>
              </w:rPr>
              <w:t>n/a</w:t>
            </w:r>
          </w:p>
        </w:tc>
        <w:tc>
          <w:tcPr>
            <w:tcW w:w="641" w:type="dxa"/>
          </w:tcPr>
          <w:p w14:paraId="796738D1" w14:textId="0FAD151F" w:rsidR="00113332" w:rsidRPr="00B81CD9" w:rsidRDefault="00113332" w:rsidP="004E0E79">
            <w:pPr>
              <w:spacing w:line="240" w:lineRule="auto"/>
              <w:rPr>
                <w:color w:val="000000" w:themeColor="text1"/>
              </w:rPr>
            </w:pPr>
            <w:r w:rsidRPr="00B81CD9">
              <w:rPr>
                <w:color w:val="000000" w:themeColor="text1"/>
              </w:rPr>
              <w:t>n/a</w:t>
            </w:r>
          </w:p>
        </w:tc>
        <w:tc>
          <w:tcPr>
            <w:tcW w:w="675" w:type="dxa"/>
          </w:tcPr>
          <w:p w14:paraId="442B5023"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07FBB48C" w14:textId="77777777" w:rsidR="00113332" w:rsidRPr="00B81CD9" w:rsidRDefault="00113332" w:rsidP="004E0E79">
            <w:pPr>
              <w:spacing w:line="240" w:lineRule="auto"/>
              <w:rPr>
                <w:rFonts w:ascii="Wingdings" w:eastAsia="Wingdings" w:hAnsi="Wingdings" w:cs="Wingdings"/>
                <w:color w:val="000000" w:themeColor="text1"/>
              </w:rPr>
            </w:pPr>
          </w:p>
        </w:tc>
        <w:tc>
          <w:tcPr>
            <w:tcW w:w="617" w:type="dxa"/>
          </w:tcPr>
          <w:p w14:paraId="0531E211" w14:textId="77777777" w:rsidR="00113332" w:rsidRPr="00B81CD9" w:rsidRDefault="00113332" w:rsidP="00270181">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5E4A13D5" w14:textId="77777777" w:rsidR="00113332" w:rsidRPr="00B81CD9" w:rsidRDefault="00113332" w:rsidP="004E0E79">
            <w:pPr>
              <w:spacing w:line="240" w:lineRule="auto"/>
              <w:rPr>
                <w:rFonts w:ascii="Wingdings" w:eastAsia="Wingdings" w:hAnsi="Wingdings" w:cs="Wingdings"/>
                <w:color w:val="000000" w:themeColor="text1"/>
              </w:rPr>
            </w:pPr>
          </w:p>
        </w:tc>
      </w:tr>
      <w:tr w:rsidR="00113332" w:rsidRPr="00B81CD9" w14:paraId="220A626F" w14:textId="77777777" w:rsidTr="00113332">
        <w:tc>
          <w:tcPr>
            <w:tcW w:w="1343" w:type="dxa"/>
          </w:tcPr>
          <w:p w14:paraId="53D8274A" w14:textId="0E104EB4" w:rsidR="00113332" w:rsidRPr="00B81CD9" w:rsidRDefault="00113332" w:rsidP="004E0E79">
            <w:pPr>
              <w:spacing w:line="240" w:lineRule="auto"/>
              <w:rPr>
                <w:color w:val="000000" w:themeColor="text1"/>
              </w:rPr>
            </w:pPr>
            <w:r w:rsidRPr="00B81CD9">
              <w:rPr>
                <w:color w:val="000000" w:themeColor="text1"/>
              </w:rPr>
              <w:t>Gerry McDonald</w:t>
            </w:r>
          </w:p>
          <w:p w14:paraId="29C407F9" w14:textId="77777777" w:rsidR="00113332" w:rsidRPr="00B81CD9" w:rsidRDefault="00113332" w:rsidP="004E0E79">
            <w:pPr>
              <w:spacing w:line="240" w:lineRule="auto"/>
              <w:rPr>
                <w:color w:val="000000" w:themeColor="text1"/>
              </w:rPr>
            </w:pPr>
          </w:p>
        </w:tc>
        <w:tc>
          <w:tcPr>
            <w:tcW w:w="1471" w:type="dxa"/>
          </w:tcPr>
          <w:p w14:paraId="6072B286" w14:textId="7A7FBB09" w:rsidR="00113332" w:rsidRPr="00B81CD9" w:rsidRDefault="00113332" w:rsidP="004E0E79">
            <w:pPr>
              <w:spacing w:line="240" w:lineRule="auto"/>
              <w:rPr>
                <w:color w:val="000000" w:themeColor="text1"/>
              </w:rPr>
            </w:pPr>
            <w:r w:rsidRPr="00B81CD9">
              <w:rPr>
                <w:color w:val="000000" w:themeColor="text1"/>
              </w:rPr>
              <w:t>Independent Governor</w:t>
            </w:r>
          </w:p>
        </w:tc>
        <w:tc>
          <w:tcPr>
            <w:tcW w:w="675" w:type="dxa"/>
          </w:tcPr>
          <w:p w14:paraId="2B379B11" w14:textId="7E100353" w:rsidR="00113332" w:rsidRPr="00B81CD9" w:rsidRDefault="00113332" w:rsidP="004E0E79">
            <w:pPr>
              <w:spacing w:line="240" w:lineRule="auto"/>
              <w:rPr>
                <w:color w:val="000000" w:themeColor="text1"/>
              </w:rPr>
            </w:pPr>
            <w:r w:rsidRPr="00B81CD9">
              <w:rPr>
                <w:color w:val="000000" w:themeColor="text1"/>
              </w:rPr>
              <w:t>n/a</w:t>
            </w:r>
          </w:p>
        </w:tc>
        <w:tc>
          <w:tcPr>
            <w:tcW w:w="618" w:type="dxa"/>
          </w:tcPr>
          <w:p w14:paraId="0F44B398" w14:textId="475C88C7" w:rsidR="00113332" w:rsidRPr="00B81CD9" w:rsidRDefault="00113332" w:rsidP="004E0E79">
            <w:pPr>
              <w:spacing w:line="240" w:lineRule="auto"/>
              <w:rPr>
                <w:color w:val="000000" w:themeColor="text1"/>
              </w:rPr>
            </w:pPr>
            <w:r w:rsidRPr="00B81CD9">
              <w:rPr>
                <w:color w:val="000000" w:themeColor="text1"/>
              </w:rPr>
              <w:t>n/a</w:t>
            </w:r>
          </w:p>
        </w:tc>
        <w:tc>
          <w:tcPr>
            <w:tcW w:w="625" w:type="dxa"/>
          </w:tcPr>
          <w:p w14:paraId="59AA8E95" w14:textId="43F81D6C" w:rsidR="00113332" w:rsidRPr="00B81CD9" w:rsidRDefault="00113332" w:rsidP="00FF6810">
            <w:pPr>
              <w:spacing w:line="240" w:lineRule="auto"/>
              <w:rPr>
                <w:color w:val="000000" w:themeColor="text1"/>
              </w:rPr>
            </w:pPr>
            <w:r w:rsidRPr="00B81CD9">
              <w:rPr>
                <w:color w:val="000000" w:themeColor="text1"/>
              </w:rPr>
              <w:t>n/a</w:t>
            </w:r>
          </w:p>
        </w:tc>
        <w:tc>
          <w:tcPr>
            <w:tcW w:w="641" w:type="dxa"/>
          </w:tcPr>
          <w:p w14:paraId="7F2CC517" w14:textId="208D9DFD" w:rsidR="00113332" w:rsidRPr="00B81CD9" w:rsidRDefault="00113332" w:rsidP="004E0E79">
            <w:pPr>
              <w:spacing w:line="240" w:lineRule="auto"/>
              <w:rPr>
                <w:color w:val="000000" w:themeColor="text1"/>
              </w:rPr>
            </w:pPr>
            <w:r w:rsidRPr="00B81CD9">
              <w:rPr>
                <w:color w:val="000000" w:themeColor="text1"/>
              </w:rPr>
              <w:t>n/a</w:t>
            </w:r>
          </w:p>
        </w:tc>
        <w:tc>
          <w:tcPr>
            <w:tcW w:w="675" w:type="dxa"/>
          </w:tcPr>
          <w:p w14:paraId="4F6EAA44"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391F0D3" w14:textId="77777777" w:rsidR="00113332" w:rsidRPr="00B81CD9" w:rsidRDefault="00113332" w:rsidP="004E0E79">
            <w:pPr>
              <w:spacing w:line="240" w:lineRule="auto"/>
              <w:rPr>
                <w:rFonts w:ascii="Wingdings" w:eastAsia="Wingdings" w:hAnsi="Wingdings" w:cs="Wingdings"/>
                <w:color w:val="000000" w:themeColor="text1"/>
              </w:rPr>
            </w:pPr>
          </w:p>
        </w:tc>
        <w:tc>
          <w:tcPr>
            <w:tcW w:w="617" w:type="dxa"/>
          </w:tcPr>
          <w:p w14:paraId="65BA5C59" w14:textId="77777777" w:rsidR="00113332" w:rsidRPr="00B81CD9" w:rsidRDefault="00113332" w:rsidP="00270181">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40D0B707" w14:textId="77777777" w:rsidR="00113332" w:rsidRPr="00B81CD9" w:rsidRDefault="00113332" w:rsidP="004E0E79">
            <w:pPr>
              <w:spacing w:line="240" w:lineRule="auto"/>
              <w:rPr>
                <w:rFonts w:ascii="Wingdings" w:eastAsia="Wingdings" w:hAnsi="Wingdings" w:cs="Wingdings"/>
                <w:color w:val="000000" w:themeColor="text1"/>
              </w:rPr>
            </w:pPr>
          </w:p>
        </w:tc>
      </w:tr>
      <w:tr w:rsidR="00113332" w:rsidRPr="00B81CD9" w14:paraId="7BD5B653" w14:textId="77777777" w:rsidTr="00113332">
        <w:tc>
          <w:tcPr>
            <w:tcW w:w="1343" w:type="dxa"/>
          </w:tcPr>
          <w:p w14:paraId="35C624D3" w14:textId="77777777" w:rsidR="00113332" w:rsidRPr="00B81CD9" w:rsidRDefault="00113332" w:rsidP="004E0E79">
            <w:pPr>
              <w:spacing w:line="240" w:lineRule="auto"/>
              <w:rPr>
                <w:color w:val="000000" w:themeColor="text1"/>
              </w:rPr>
            </w:pPr>
            <w:r w:rsidRPr="00B81CD9">
              <w:rPr>
                <w:color w:val="000000" w:themeColor="text1"/>
              </w:rPr>
              <w:t>Sanam Arora</w:t>
            </w:r>
          </w:p>
          <w:p w14:paraId="45D067D1" w14:textId="582BF1AD" w:rsidR="00113332" w:rsidRPr="00B81CD9" w:rsidRDefault="00113332" w:rsidP="004E0E79">
            <w:pPr>
              <w:spacing w:line="240" w:lineRule="auto"/>
              <w:rPr>
                <w:color w:val="000000" w:themeColor="text1"/>
              </w:rPr>
            </w:pPr>
          </w:p>
        </w:tc>
        <w:tc>
          <w:tcPr>
            <w:tcW w:w="1471" w:type="dxa"/>
          </w:tcPr>
          <w:p w14:paraId="672B9411" w14:textId="6475E5EA" w:rsidR="00113332" w:rsidRPr="00B81CD9" w:rsidRDefault="00113332" w:rsidP="004E0E79">
            <w:pPr>
              <w:spacing w:line="240" w:lineRule="auto"/>
              <w:rPr>
                <w:color w:val="000000" w:themeColor="text1"/>
              </w:rPr>
            </w:pPr>
            <w:r w:rsidRPr="00B81CD9">
              <w:rPr>
                <w:color w:val="000000" w:themeColor="text1"/>
              </w:rPr>
              <w:t xml:space="preserve">Independent Governor </w:t>
            </w:r>
          </w:p>
        </w:tc>
        <w:tc>
          <w:tcPr>
            <w:tcW w:w="675" w:type="dxa"/>
          </w:tcPr>
          <w:p w14:paraId="0DDC3389" w14:textId="73F2C002" w:rsidR="00113332" w:rsidRPr="00B81CD9" w:rsidRDefault="00113332" w:rsidP="004E0E79">
            <w:pPr>
              <w:spacing w:line="240" w:lineRule="auto"/>
              <w:rPr>
                <w:color w:val="000000" w:themeColor="text1"/>
              </w:rPr>
            </w:pPr>
            <w:r w:rsidRPr="00B81CD9">
              <w:rPr>
                <w:color w:val="000000" w:themeColor="text1"/>
              </w:rPr>
              <w:t>n/a</w:t>
            </w:r>
          </w:p>
        </w:tc>
        <w:tc>
          <w:tcPr>
            <w:tcW w:w="618" w:type="dxa"/>
          </w:tcPr>
          <w:p w14:paraId="53B1BCB3" w14:textId="42BD0968" w:rsidR="00113332" w:rsidRPr="00B81CD9" w:rsidRDefault="00113332" w:rsidP="004E0E79">
            <w:pPr>
              <w:spacing w:line="240" w:lineRule="auto"/>
              <w:rPr>
                <w:color w:val="000000" w:themeColor="text1"/>
              </w:rPr>
            </w:pPr>
            <w:r w:rsidRPr="00B81CD9">
              <w:rPr>
                <w:color w:val="000000" w:themeColor="text1"/>
              </w:rPr>
              <w:t>n/a</w:t>
            </w:r>
          </w:p>
        </w:tc>
        <w:tc>
          <w:tcPr>
            <w:tcW w:w="625" w:type="dxa"/>
          </w:tcPr>
          <w:p w14:paraId="64A10620" w14:textId="691EBE35" w:rsidR="00113332" w:rsidRPr="00B81CD9" w:rsidRDefault="00113332" w:rsidP="00FF6810">
            <w:pPr>
              <w:spacing w:line="240" w:lineRule="auto"/>
              <w:rPr>
                <w:color w:val="000000" w:themeColor="text1"/>
              </w:rPr>
            </w:pPr>
            <w:r w:rsidRPr="00B81CD9">
              <w:rPr>
                <w:color w:val="000000" w:themeColor="text1"/>
              </w:rPr>
              <w:t>n/a</w:t>
            </w:r>
          </w:p>
        </w:tc>
        <w:tc>
          <w:tcPr>
            <w:tcW w:w="641" w:type="dxa"/>
          </w:tcPr>
          <w:p w14:paraId="1074F76F" w14:textId="5B73F8E1" w:rsidR="00113332" w:rsidRPr="00B81CD9" w:rsidRDefault="00113332" w:rsidP="004E0E79">
            <w:pPr>
              <w:spacing w:line="240" w:lineRule="auto"/>
              <w:rPr>
                <w:color w:val="000000" w:themeColor="text1"/>
              </w:rPr>
            </w:pPr>
            <w:r w:rsidRPr="00B81CD9">
              <w:rPr>
                <w:color w:val="000000" w:themeColor="text1"/>
              </w:rPr>
              <w:t>n/a</w:t>
            </w:r>
          </w:p>
        </w:tc>
        <w:tc>
          <w:tcPr>
            <w:tcW w:w="675" w:type="dxa"/>
          </w:tcPr>
          <w:p w14:paraId="6386C473" w14:textId="77777777" w:rsidR="00113332" w:rsidRPr="00B81CD9" w:rsidRDefault="00113332" w:rsidP="00D26AB3">
            <w:pPr>
              <w:shd w:val="clear" w:color="auto" w:fill="auto"/>
              <w:spacing w:line="240" w:lineRule="auto"/>
              <w:jc w:val="left"/>
              <w:rPr>
                <w:rFonts w:ascii="Wingdings" w:eastAsia="Wingdings" w:hAnsi="Wingdings" w:cs="Wingdings"/>
                <w:color w:val="000000" w:themeColor="text1"/>
              </w:rPr>
            </w:pPr>
            <w:r w:rsidRPr="00B81CD9">
              <w:rPr>
                <w:rFonts w:ascii="Wingdings" w:eastAsia="Wingdings" w:hAnsi="Wingdings" w:cs="Wingdings"/>
                <w:color w:val="000000" w:themeColor="text1"/>
              </w:rPr>
              <w:t>ü</w:t>
            </w:r>
          </w:p>
          <w:p w14:paraId="72450FD3" w14:textId="77777777" w:rsidR="00113332" w:rsidRPr="00B81CD9" w:rsidRDefault="00113332" w:rsidP="004E0E79">
            <w:pPr>
              <w:spacing w:line="240" w:lineRule="auto"/>
              <w:rPr>
                <w:rFonts w:ascii="Wingdings" w:eastAsia="Wingdings" w:hAnsi="Wingdings" w:cs="Wingdings"/>
                <w:color w:val="000000" w:themeColor="text1"/>
              </w:rPr>
            </w:pPr>
          </w:p>
        </w:tc>
        <w:tc>
          <w:tcPr>
            <w:tcW w:w="617" w:type="dxa"/>
          </w:tcPr>
          <w:p w14:paraId="71D5200E" w14:textId="77777777" w:rsidR="00113332" w:rsidRPr="00B81CD9" w:rsidRDefault="00113332" w:rsidP="00270181">
            <w:pPr>
              <w:shd w:val="clear" w:color="auto" w:fill="auto"/>
              <w:spacing w:line="240" w:lineRule="auto"/>
              <w:jc w:val="left"/>
              <w:rPr>
                <w:i/>
                <w:color w:val="000000" w:themeColor="text1"/>
              </w:rPr>
            </w:pPr>
            <w:r w:rsidRPr="00B81CD9">
              <w:rPr>
                <w:rFonts w:ascii="Wingdings" w:eastAsia="Wingdings" w:hAnsi="Wingdings" w:cs="Wingdings"/>
                <w:color w:val="000000" w:themeColor="text1"/>
              </w:rPr>
              <w:t>û</w:t>
            </w:r>
          </w:p>
          <w:p w14:paraId="5E7CFBD3" w14:textId="77777777" w:rsidR="00113332" w:rsidRPr="00B81CD9" w:rsidRDefault="00113332" w:rsidP="004E0E79">
            <w:pPr>
              <w:spacing w:line="240" w:lineRule="auto"/>
              <w:rPr>
                <w:rFonts w:ascii="Wingdings" w:eastAsia="Wingdings" w:hAnsi="Wingdings" w:cs="Wingdings"/>
                <w:color w:val="000000" w:themeColor="text1"/>
              </w:rPr>
            </w:pPr>
          </w:p>
        </w:tc>
      </w:tr>
    </w:tbl>
    <w:p w14:paraId="2D61043F" w14:textId="57421A28" w:rsidR="00B77069" w:rsidRPr="00B81CD9" w:rsidRDefault="00B77069" w:rsidP="00803EBA">
      <w:pPr>
        <w:shd w:val="clear" w:color="auto" w:fill="auto"/>
        <w:spacing w:line="240" w:lineRule="auto"/>
        <w:jc w:val="left"/>
        <w:rPr>
          <w:i/>
          <w:color w:val="000000" w:themeColor="text1"/>
        </w:rPr>
      </w:pPr>
      <w:r w:rsidRPr="00B81CD9">
        <w:rPr>
          <w:i/>
          <w:color w:val="000000" w:themeColor="text1"/>
        </w:rPr>
        <w:t>NB:</w:t>
      </w:r>
      <w:r w:rsidRPr="00B81CD9">
        <w:rPr>
          <w:b/>
          <w:i/>
          <w:color w:val="000000" w:themeColor="text1"/>
        </w:rPr>
        <w:t xml:space="preserve"> n/a</w:t>
      </w:r>
      <w:r w:rsidRPr="00B81CD9">
        <w:rPr>
          <w:i/>
          <w:color w:val="000000" w:themeColor="text1"/>
        </w:rPr>
        <w:t xml:space="preserve"> indicates that the individual was </w:t>
      </w:r>
      <w:r w:rsidRPr="00B81CD9">
        <w:rPr>
          <w:b/>
          <w:i/>
          <w:color w:val="000000" w:themeColor="text1"/>
        </w:rPr>
        <w:t>not</w:t>
      </w:r>
      <w:r w:rsidRPr="00B81CD9">
        <w:rPr>
          <w:i/>
          <w:color w:val="000000" w:themeColor="text1"/>
        </w:rPr>
        <w:t xml:space="preserve"> a member at the time of the meeting.</w:t>
      </w:r>
    </w:p>
    <w:p w14:paraId="2D145CA2" w14:textId="77777777" w:rsidR="002D0327" w:rsidRPr="00B81CD9" w:rsidRDefault="002D0327" w:rsidP="00803EBA">
      <w:pPr>
        <w:shd w:val="clear" w:color="auto" w:fill="auto"/>
        <w:spacing w:line="240" w:lineRule="auto"/>
        <w:jc w:val="left"/>
        <w:rPr>
          <w:i/>
          <w:color w:val="000000" w:themeColor="text1"/>
        </w:rPr>
      </w:pPr>
    </w:p>
    <w:p w14:paraId="22A7E3F9" w14:textId="66F7E100" w:rsidR="00AF2B2B" w:rsidRPr="00B81CD9" w:rsidRDefault="00A55F5D" w:rsidP="00174F38">
      <w:pPr>
        <w:pStyle w:val="ListParagraph"/>
        <w:numPr>
          <w:ilvl w:val="1"/>
          <w:numId w:val="1"/>
        </w:numPr>
        <w:snapToGrid w:val="0"/>
        <w:spacing w:before="240" w:line="312" w:lineRule="auto"/>
        <w:ind w:left="709" w:hanging="709"/>
        <w:contextualSpacing w:val="0"/>
        <w:jc w:val="left"/>
        <w:rPr>
          <w:color w:val="000000" w:themeColor="text1"/>
        </w:rPr>
      </w:pPr>
      <w:r w:rsidRPr="00B81CD9">
        <w:rPr>
          <w:color w:val="000000" w:themeColor="text1"/>
        </w:rPr>
        <w:t>The followin</w:t>
      </w:r>
      <w:r w:rsidR="254A9DA0" w:rsidRPr="00B81CD9">
        <w:rPr>
          <w:color w:val="000000" w:themeColor="text1"/>
        </w:rPr>
        <w:t>g staff attended each meeting but were not members of the Committee:</w:t>
      </w:r>
    </w:p>
    <w:p w14:paraId="69749C93" w14:textId="77777777" w:rsidR="00D26AB3" w:rsidRPr="00B81CD9" w:rsidRDefault="00A55F5D" w:rsidP="009040A0">
      <w:pPr>
        <w:pStyle w:val="ListParagraph"/>
        <w:tabs>
          <w:tab w:val="left" w:pos="1701"/>
        </w:tabs>
        <w:ind w:left="1418" w:hanging="1058"/>
        <w:rPr>
          <w:rFonts w:asciiTheme="minorBidi" w:hAnsiTheme="minorBidi" w:cstheme="minorBidi"/>
          <w:color w:val="000000" w:themeColor="text1"/>
        </w:rPr>
      </w:pPr>
      <w:r w:rsidRPr="00B81CD9">
        <w:rPr>
          <w:rFonts w:asciiTheme="minorBidi" w:hAnsiTheme="minorBidi" w:cstheme="minorBidi"/>
          <w:color w:val="000000" w:themeColor="text1"/>
        </w:rPr>
        <w:tab/>
      </w:r>
      <w:r w:rsidR="00D26AB3" w:rsidRPr="00B81CD9">
        <w:rPr>
          <w:rFonts w:asciiTheme="minorBidi" w:hAnsiTheme="minorBidi" w:cstheme="minorBidi"/>
          <w:color w:val="000000" w:themeColor="text1"/>
        </w:rPr>
        <w:t>Julie Hall, Vice Chancellor</w:t>
      </w:r>
    </w:p>
    <w:p w14:paraId="470333C6" w14:textId="39A7B328" w:rsidR="00FA57C1" w:rsidRPr="00B81CD9" w:rsidRDefault="00D26AB3" w:rsidP="009040A0">
      <w:pPr>
        <w:pStyle w:val="ListParagraph"/>
        <w:tabs>
          <w:tab w:val="left" w:pos="1701"/>
        </w:tabs>
        <w:ind w:left="1418" w:hanging="1058"/>
        <w:rPr>
          <w:rFonts w:asciiTheme="minorBidi" w:hAnsiTheme="minorBidi" w:cstheme="minorBidi"/>
          <w:color w:val="000000" w:themeColor="text1"/>
        </w:rPr>
      </w:pPr>
      <w:r w:rsidRPr="00B81CD9">
        <w:rPr>
          <w:rFonts w:asciiTheme="minorBidi" w:hAnsiTheme="minorBidi" w:cstheme="minorBidi"/>
          <w:color w:val="000000" w:themeColor="text1"/>
        </w:rPr>
        <w:tab/>
      </w:r>
      <w:r w:rsidR="00A55F5D" w:rsidRPr="00B81CD9">
        <w:rPr>
          <w:rFonts w:asciiTheme="minorBidi" w:hAnsiTheme="minorBidi" w:cstheme="minorBidi"/>
          <w:color w:val="000000" w:themeColor="text1"/>
        </w:rPr>
        <w:t xml:space="preserve">Eugene McCrossan, Chief </w:t>
      </w:r>
      <w:r w:rsidR="00D43C59" w:rsidRPr="00B81CD9">
        <w:rPr>
          <w:rFonts w:asciiTheme="minorBidi" w:hAnsiTheme="minorBidi" w:cstheme="minorBidi"/>
          <w:color w:val="000000" w:themeColor="text1"/>
        </w:rPr>
        <w:t>Operating</w:t>
      </w:r>
      <w:r w:rsidR="00A55F5D" w:rsidRPr="00B81CD9">
        <w:rPr>
          <w:rFonts w:asciiTheme="minorBidi" w:hAnsiTheme="minorBidi" w:cstheme="minorBidi"/>
          <w:color w:val="000000" w:themeColor="text1"/>
        </w:rPr>
        <w:t xml:space="preserve"> Officer</w:t>
      </w:r>
      <w:r w:rsidR="00F87159" w:rsidRPr="00B81CD9">
        <w:rPr>
          <w:rFonts w:asciiTheme="minorBidi" w:hAnsiTheme="minorBidi" w:cstheme="minorBidi"/>
          <w:color w:val="000000" w:themeColor="text1"/>
        </w:rPr>
        <w:t xml:space="preserve"> </w:t>
      </w:r>
      <w:r w:rsidR="00FA57C1" w:rsidRPr="00B81CD9">
        <w:rPr>
          <w:rFonts w:asciiTheme="minorBidi" w:hAnsiTheme="minorBidi" w:cstheme="minorBidi"/>
          <w:color w:val="000000" w:themeColor="text1"/>
        </w:rPr>
        <w:t xml:space="preserve"> </w:t>
      </w:r>
    </w:p>
    <w:p w14:paraId="0F6CE83F" w14:textId="4162DADF" w:rsidR="00C61036" w:rsidRPr="00B81CD9" w:rsidRDefault="00C61036" w:rsidP="009040A0">
      <w:pPr>
        <w:pStyle w:val="ListParagraph"/>
        <w:tabs>
          <w:tab w:val="left" w:pos="1701"/>
        </w:tabs>
        <w:ind w:left="1418" w:hanging="1058"/>
        <w:rPr>
          <w:rFonts w:asciiTheme="minorBidi" w:hAnsiTheme="minorBidi" w:cstheme="minorBidi"/>
          <w:color w:val="000000" w:themeColor="text1"/>
          <w:szCs w:val="22"/>
        </w:rPr>
      </w:pPr>
      <w:r w:rsidRPr="00B81CD9">
        <w:rPr>
          <w:rFonts w:asciiTheme="minorBidi" w:hAnsiTheme="minorBidi" w:cstheme="minorBidi"/>
          <w:color w:val="000000" w:themeColor="text1"/>
        </w:rPr>
        <w:tab/>
        <w:t xml:space="preserve">Stephen Obuba, Associate Director of Financial Reporting. </w:t>
      </w:r>
    </w:p>
    <w:p w14:paraId="01AFBD09" w14:textId="60B357A8" w:rsidR="00FF6810" w:rsidRPr="00B81CD9" w:rsidRDefault="009F0CC0" w:rsidP="00FF6810">
      <w:pPr>
        <w:pStyle w:val="ListParagraph"/>
        <w:tabs>
          <w:tab w:val="left" w:pos="1134"/>
          <w:tab w:val="left" w:pos="1701"/>
          <w:tab w:val="left" w:pos="8171"/>
        </w:tabs>
        <w:ind w:left="1418" w:hanging="142"/>
        <w:rPr>
          <w:rFonts w:asciiTheme="minorBidi" w:hAnsiTheme="minorBidi" w:cstheme="minorBidi"/>
          <w:color w:val="000000" w:themeColor="text1"/>
          <w:lang w:val="it-IT"/>
        </w:rPr>
      </w:pPr>
      <w:r w:rsidRPr="00B81CD9">
        <w:rPr>
          <w:rFonts w:asciiTheme="minorBidi" w:hAnsiTheme="minorBidi" w:cstheme="minorBidi"/>
          <w:color w:val="000000" w:themeColor="text1"/>
        </w:rPr>
        <w:tab/>
      </w:r>
      <w:r w:rsidRPr="00B81CD9">
        <w:rPr>
          <w:rFonts w:asciiTheme="minorBidi" w:hAnsiTheme="minorBidi" w:cstheme="minorBidi"/>
          <w:color w:val="000000" w:themeColor="text1"/>
          <w:lang w:val="it-IT"/>
        </w:rPr>
        <w:t xml:space="preserve">Nicola Le Faou, </w:t>
      </w:r>
      <w:r w:rsidR="00A17FC1" w:rsidRPr="00B81CD9">
        <w:rPr>
          <w:rFonts w:asciiTheme="minorBidi" w:hAnsiTheme="minorBidi" w:cstheme="minorBidi"/>
          <w:color w:val="000000" w:themeColor="text1"/>
          <w:lang w:val="it-IT"/>
        </w:rPr>
        <w:t>University Secretary</w:t>
      </w:r>
    </w:p>
    <w:p w14:paraId="6C88BDAD" w14:textId="77777777" w:rsidR="00D26AB3" w:rsidRPr="00B81CD9" w:rsidRDefault="00D26AB3" w:rsidP="00FF6810">
      <w:pPr>
        <w:pStyle w:val="ListParagraph"/>
        <w:tabs>
          <w:tab w:val="left" w:pos="1134"/>
          <w:tab w:val="left" w:pos="1701"/>
          <w:tab w:val="left" w:pos="8171"/>
        </w:tabs>
        <w:ind w:left="1418" w:hanging="142"/>
        <w:rPr>
          <w:rFonts w:asciiTheme="minorBidi" w:hAnsiTheme="minorBidi" w:cstheme="minorBidi"/>
          <w:color w:val="000000" w:themeColor="text1"/>
          <w:lang w:val="it-IT"/>
        </w:rPr>
      </w:pPr>
    </w:p>
    <w:p w14:paraId="3CE71128" w14:textId="531FF9DA" w:rsidR="00865601" w:rsidRPr="00B81CD9" w:rsidRDefault="002A6133" w:rsidP="00187747">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w:t>
      </w:r>
      <w:r w:rsidR="00040CDE" w:rsidRPr="00B81CD9">
        <w:rPr>
          <w:rFonts w:cs="Arial"/>
          <w:color w:val="000000" w:themeColor="text1"/>
        </w:rPr>
        <w:t xml:space="preserve">roughout the year, </w:t>
      </w:r>
      <w:r w:rsidR="00C61036" w:rsidRPr="00B81CD9">
        <w:rPr>
          <w:rFonts w:cs="Arial"/>
          <w:color w:val="000000" w:themeColor="text1"/>
        </w:rPr>
        <w:t>Jessica Hargreaves</w:t>
      </w:r>
      <w:r w:rsidR="00D26AB3" w:rsidRPr="00B81CD9">
        <w:rPr>
          <w:rFonts w:cs="Arial"/>
          <w:color w:val="000000" w:themeColor="text1"/>
        </w:rPr>
        <w:t xml:space="preserve"> and Komal Taragi</w:t>
      </w:r>
      <w:r w:rsidR="00C61036" w:rsidRPr="00B81CD9">
        <w:rPr>
          <w:rFonts w:asciiTheme="minorBidi" w:hAnsiTheme="minorBidi" w:cstheme="minorBidi"/>
          <w:color w:val="000000" w:themeColor="text1"/>
          <w:shd w:val="clear" w:color="auto" w:fill="FFFFFF"/>
        </w:rPr>
        <w:t xml:space="preserve"> </w:t>
      </w:r>
      <w:r w:rsidRPr="00B81CD9">
        <w:rPr>
          <w:rFonts w:cs="Arial"/>
          <w:color w:val="000000" w:themeColor="text1"/>
        </w:rPr>
        <w:t xml:space="preserve">attended meetings on behalf of the </w:t>
      </w:r>
      <w:r w:rsidR="00215670" w:rsidRPr="00B81CD9">
        <w:rPr>
          <w:rFonts w:cs="Arial"/>
          <w:color w:val="000000" w:themeColor="text1"/>
        </w:rPr>
        <w:t xml:space="preserve">University’s </w:t>
      </w:r>
      <w:r w:rsidRPr="00B81CD9">
        <w:rPr>
          <w:rFonts w:cs="Arial"/>
          <w:color w:val="000000" w:themeColor="text1"/>
        </w:rPr>
        <w:t>appointed external auditors</w:t>
      </w:r>
      <w:r w:rsidR="00215670" w:rsidRPr="00B81CD9">
        <w:rPr>
          <w:rFonts w:cs="Arial"/>
          <w:color w:val="000000" w:themeColor="text1"/>
        </w:rPr>
        <w:t>, KPMG</w:t>
      </w:r>
      <w:r w:rsidR="00FE0D43" w:rsidRPr="00B81CD9">
        <w:rPr>
          <w:rFonts w:cs="Arial"/>
          <w:color w:val="000000" w:themeColor="text1"/>
        </w:rPr>
        <w:t xml:space="preserve">. </w:t>
      </w:r>
      <w:r w:rsidR="00A55F5D" w:rsidRPr="00B81CD9">
        <w:rPr>
          <w:rFonts w:cs="Arial"/>
          <w:color w:val="000000" w:themeColor="text1"/>
        </w:rPr>
        <w:t xml:space="preserve">Internal Audit Services </w:t>
      </w:r>
      <w:r w:rsidR="00D26AB3" w:rsidRPr="00B81CD9">
        <w:rPr>
          <w:rFonts w:cs="Arial"/>
          <w:color w:val="000000" w:themeColor="text1"/>
        </w:rPr>
        <w:t>were</w:t>
      </w:r>
      <w:r w:rsidR="00155A4A" w:rsidRPr="00B81CD9">
        <w:rPr>
          <w:rFonts w:cs="Arial"/>
          <w:color w:val="000000" w:themeColor="text1"/>
        </w:rPr>
        <w:t xml:space="preserve"> undertaken by </w:t>
      </w:r>
      <w:r w:rsidR="00A55F5D" w:rsidRPr="00B81CD9">
        <w:rPr>
          <w:rFonts w:cs="Arial"/>
          <w:color w:val="000000" w:themeColor="text1"/>
        </w:rPr>
        <w:t>Deloitte</w:t>
      </w:r>
      <w:r w:rsidR="00155A4A" w:rsidRPr="00B81CD9">
        <w:rPr>
          <w:rFonts w:cs="Arial"/>
          <w:color w:val="000000" w:themeColor="text1"/>
        </w:rPr>
        <w:t>,</w:t>
      </w:r>
      <w:r w:rsidR="009F0CC0" w:rsidRPr="00B81CD9">
        <w:rPr>
          <w:rFonts w:cs="Arial"/>
          <w:color w:val="000000" w:themeColor="text1"/>
        </w:rPr>
        <w:t xml:space="preserve"> and</w:t>
      </w:r>
      <w:r w:rsidR="00315A0E" w:rsidRPr="00B81CD9">
        <w:rPr>
          <w:rFonts w:cs="Arial"/>
          <w:color w:val="000000" w:themeColor="text1"/>
        </w:rPr>
        <w:t xml:space="preserve"> meetings</w:t>
      </w:r>
      <w:r w:rsidR="00A55F5D" w:rsidRPr="00B81CD9">
        <w:rPr>
          <w:rFonts w:cs="Arial"/>
          <w:color w:val="000000" w:themeColor="text1"/>
        </w:rPr>
        <w:t xml:space="preserve"> were attended by Morag Childs</w:t>
      </w:r>
      <w:r w:rsidR="00D26AB3" w:rsidRPr="00B81CD9">
        <w:rPr>
          <w:rFonts w:cs="Arial"/>
          <w:color w:val="000000" w:themeColor="text1"/>
        </w:rPr>
        <w:t xml:space="preserve"> and</w:t>
      </w:r>
      <w:r w:rsidR="009637A4" w:rsidRPr="00B81CD9">
        <w:rPr>
          <w:rFonts w:cs="Arial"/>
          <w:color w:val="000000" w:themeColor="text1"/>
        </w:rPr>
        <w:t xml:space="preserve"> </w:t>
      </w:r>
      <w:r w:rsidR="00A55F5D" w:rsidRPr="00B81CD9">
        <w:rPr>
          <w:rFonts w:cs="Arial"/>
          <w:color w:val="000000" w:themeColor="text1"/>
        </w:rPr>
        <w:t>Richard Neal</w:t>
      </w:r>
      <w:r w:rsidR="00D26AB3" w:rsidRPr="00B81CD9">
        <w:rPr>
          <w:rFonts w:cs="Arial"/>
          <w:color w:val="000000" w:themeColor="text1"/>
        </w:rPr>
        <w:t xml:space="preserve">. The University </w:t>
      </w:r>
      <w:r w:rsidR="00D26AB3" w:rsidRPr="00B81CD9">
        <w:rPr>
          <w:rFonts w:cs="Arial"/>
          <w:color w:val="000000" w:themeColor="text1"/>
        </w:rPr>
        <w:lastRenderedPageBreak/>
        <w:t xml:space="preserve">appointed </w:t>
      </w:r>
      <w:proofErr w:type="spellStart"/>
      <w:r w:rsidR="00D26AB3" w:rsidRPr="00B81CD9">
        <w:rPr>
          <w:rFonts w:cs="Arial"/>
          <w:color w:val="000000" w:themeColor="text1"/>
        </w:rPr>
        <w:t>Uniac</w:t>
      </w:r>
      <w:proofErr w:type="spellEnd"/>
      <w:r w:rsidR="00D26AB3" w:rsidRPr="00B81CD9">
        <w:rPr>
          <w:rFonts w:cs="Arial"/>
          <w:color w:val="000000" w:themeColor="text1"/>
        </w:rPr>
        <w:t xml:space="preserve"> to act as its Internal Auditors from FY 2025/26, David Tomlinson, Joseph Johnson and Paddy Marshall attended meetings on their behalf from May 2025.</w:t>
      </w:r>
    </w:p>
    <w:p w14:paraId="5E030A9C" w14:textId="757EF5EE" w:rsidR="00FF6810" w:rsidRPr="00B81CD9" w:rsidRDefault="00FF6810" w:rsidP="00187747">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The Director of ITS</w:t>
      </w:r>
      <w:r w:rsidR="00C61036" w:rsidRPr="00B81CD9">
        <w:rPr>
          <w:rFonts w:cs="Arial"/>
          <w:color w:val="000000" w:themeColor="text1"/>
        </w:rPr>
        <w:t>, Head of Cyber Security</w:t>
      </w:r>
      <w:r w:rsidR="00BC7CAC" w:rsidRPr="00B81CD9">
        <w:rPr>
          <w:rFonts w:cs="Arial"/>
          <w:color w:val="000000" w:themeColor="text1"/>
        </w:rPr>
        <w:t xml:space="preserve"> and</w:t>
      </w:r>
      <w:r w:rsidRPr="00B81CD9">
        <w:rPr>
          <w:rFonts w:cs="Arial"/>
          <w:color w:val="000000" w:themeColor="text1"/>
        </w:rPr>
        <w:t xml:space="preserve"> Director of Estates</w:t>
      </w:r>
      <w:r w:rsidR="00E81FF1" w:rsidRPr="00B81CD9">
        <w:rPr>
          <w:rFonts w:cs="Arial"/>
          <w:color w:val="000000" w:themeColor="text1"/>
        </w:rPr>
        <w:t xml:space="preserve"> </w:t>
      </w:r>
      <w:r w:rsidRPr="00B81CD9">
        <w:rPr>
          <w:rFonts w:cs="Arial"/>
          <w:color w:val="000000" w:themeColor="text1"/>
        </w:rPr>
        <w:t>attended to present specific items throughout the meeting cycle, attending for those items only.</w:t>
      </w:r>
    </w:p>
    <w:p w14:paraId="6A640154" w14:textId="096D931D" w:rsidR="009D67D1" w:rsidRPr="00B81CD9" w:rsidRDefault="254A9DA0" w:rsidP="254A9DA0">
      <w:pPr>
        <w:pStyle w:val="ListParagraph"/>
        <w:numPr>
          <w:ilvl w:val="0"/>
          <w:numId w:val="1"/>
        </w:numPr>
        <w:snapToGrid w:val="0"/>
        <w:spacing w:before="240" w:line="312" w:lineRule="auto"/>
        <w:ind w:left="709" w:hanging="709"/>
        <w:contextualSpacing w:val="0"/>
        <w:jc w:val="left"/>
        <w:rPr>
          <w:rFonts w:cs="Arial"/>
          <w:b/>
          <w:bCs/>
          <w:color w:val="000000" w:themeColor="text1"/>
        </w:rPr>
      </w:pPr>
      <w:r w:rsidRPr="00B81CD9">
        <w:rPr>
          <w:rFonts w:cs="Arial"/>
          <w:b/>
          <w:bCs/>
          <w:color w:val="000000" w:themeColor="text1"/>
        </w:rPr>
        <w:t>Terms of Reference and Plan of Work</w:t>
      </w:r>
    </w:p>
    <w:p w14:paraId="1993EF26" w14:textId="1E901B82" w:rsidR="00E27CC9" w:rsidRPr="00B81CD9" w:rsidRDefault="254A9DA0" w:rsidP="254A9DA0">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The Audit</w:t>
      </w:r>
      <w:r w:rsidR="00FF6810" w:rsidRPr="00B81CD9">
        <w:rPr>
          <w:rFonts w:cs="Arial"/>
          <w:color w:val="000000" w:themeColor="text1"/>
        </w:rPr>
        <w:t xml:space="preserve"> and Risk</w:t>
      </w:r>
      <w:r w:rsidRPr="00B81CD9">
        <w:rPr>
          <w:rFonts w:cs="Arial"/>
          <w:color w:val="000000" w:themeColor="text1"/>
        </w:rPr>
        <w:t xml:space="preserve"> Committee’s Terms of Reference are consistent with the functions assigned to the Committee in the University’s Scheme of Delegation, which was approved by the Board of Governors </w:t>
      </w:r>
      <w:r w:rsidR="00D43C59" w:rsidRPr="00B81CD9">
        <w:rPr>
          <w:rFonts w:cs="Arial"/>
          <w:color w:val="000000" w:themeColor="text1"/>
        </w:rPr>
        <w:t>o</w:t>
      </w:r>
      <w:r w:rsidRPr="00B81CD9">
        <w:rPr>
          <w:rFonts w:cs="Arial"/>
          <w:color w:val="000000" w:themeColor="text1"/>
        </w:rPr>
        <w:t xml:space="preserve">n </w:t>
      </w:r>
      <w:r w:rsidR="007227FF" w:rsidRPr="00B81CD9">
        <w:rPr>
          <w:color w:val="000000" w:themeColor="text1"/>
        </w:rPr>
        <w:t>28</w:t>
      </w:r>
      <w:r w:rsidR="007227FF" w:rsidRPr="00B81CD9">
        <w:rPr>
          <w:color w:val="000000" w:themeColor="text1"/>
          <w:vertAlign w:val="superscript"/>
        </w:rPr>
        <w:t>th</w:t>
      </w:r>
      <w:r w:rsidR="007227FF" w:rsidRPr="00B81CD9">
        <w:rPr>
          <w:color w:val="000000" w:themeColor="text1"/>
        </w:rPr>
        <w:t xml:space="preserve"> November 2024</w:t>
      </w:r>
      <w:r w:rsidRPr="00B81CD9">
        <w:rPr>
          <w:rFonts w:cs="Arial"/>
          <w:color w:val="000000" w:themeColor="text1"/>
        </w:rPr>
        <w:t xml:space="preserve">.  They also follow substantially the model audit committee terms of reference set out in the Committee of University’s Chairs’ </w:t>
      </w:r>
      <w:r w:rsidR="00202E26" w:rsidRPr="00B81CD9">
        <w:rPr>
          <w:rFonts w:cs="Arial"/>
          <w:iCs/>
          <w:color w:val="000000" w:themeColor="text1"/>
        </w:rPr>
        <w:t xml:space="preserve">Audit Code of </w:t>
      </w:r>
      <w:r w:rsidR="00C2483F" w:rsidRPr="00B81CD9">
        <w:rPr>
          <w:rFonts w:cs="Arial"/>
          <w:iCs/>
          <w:color w:val="000000" w:themeColor="text1"/>
        </w:rPr>
        <w:t>Practice</w:t>
      </w:r>
      <w:r w:rsidR="00202E26" w:rsidRPr="00B81CD9">
        <w:rPr>
          <w:rFonts w:cs="Arial"/>
          <w:iCs/>
          <w:color w:val="000000" w:themeColor="text1"/>
        </w:rPr>
        <w:t>.</w:t>
      </w:r>
    </w:p>
    <w:p w14:paraId="2F6C34DE" w14:textId="2A9017F8" w:rsidR="00155A4A" w:rsidRPr="00B81CD9" w:rsidRDefault="254A9DA0" w:rsidP="002C3768">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The Audit</w:t>
      </w:r>
      <w:r w:rsidR="00FF6810" w:rsidRPr="00B81CD9">
        <w:rPr>
          <w:rFonts w:cs="Arial"/>
          <w:color w:val="000000" w:themeColor="text1"/>
        </w:rPr>
        <w:t xml:space="preserve"> and Risk</w:t>
      </w:r>
      <w:r w:rsidRPr="00B81CD9">
        <w:rPr>
          <w:rFonts w:cs="Arial"/>
          <w:color w:val="000000" w:themeColor="text1"/>
        </w:rPr>
        <w:t xml:space="preserve"> Committee’s Terms of Reference are reviewed annually to ensure they remain fit for purpose, meet best practice and reflect the University’s operating environme</w:t>
      </w:r>
      <w:r w:rsidR="00B24EFB" w:rsidRPr="00B81CD9">
        <w:rPr>
          <w:rFonts w:cs="Arial"/>
          <w:color w:val="000000" w:themeColor="text1"/>
        </w:rPr>
        <w:t>nt.  The Committee received its</w:t>
      </w:r>
      <w:r w:rsidR="00F4242F" w:rsidRPr="00B81CD9">
        <w:rPr>
          <w:rFonts w:cs="Arial"/>
          <w:color w:val="000000" w:themeColor="text1"/>
        </w:rPr>
        <w:t xml:space="preserve"> </w:t>
      </w:r>
      <w:r w:rsidR="00C2483F" w:rsidRPr="00B81CD9">
        <w:rPr>
          <w:rFonts w:cs="Arial"/>
          <w:color w:val="000000" w:themeColor="text1"/>
        </w:rPr>
        <w:t>Terms of R</w:t>
      </w:r>
      <w:r w:rsidRPr="00B81CD9">
        <w:rPr>
          <w:rFonts w:cs="Arial"/>
          <w:color w:val="000000" w:themeColor="text1"/>
        </w:rPr>
        <w:t xml:space="preserve">eference at its </w:t>
      </w:r>
      <w:r w:rsidR="00B24EFB" w:rsidRPr="00B81CD9">
        <w:rPr>
          <w:rFonts w:cs="Arial"/>
          <w:color w:val="000000" w:themeColor="text1"/>
        </w:rPr>
        <w:t xml:space="preserve">September </w:t>
      </w:r>
      <w:r w:rsidR="007227FF" w:rsidRPr="00B81CD9">
        <w:rPr>
          <w:rFonts w:cs="Arial"/>
          <w:color w:val="000000" w:themeColor="text1"/>
        </w:rPr>
        <w:t>2025</w:t>
      </w:r>
      <w:r w:rsidR="00D43C59" w:rsidRPr="00B81CD9">
        <w:rPr>
          <w:rFonts w:cs="Arial"/>
          <w:color w:val="000000" w:themeColor="text1"/>
        </w:rPr>
        <w:t xml:space="preserve"> meeting</w:t>
      </w:r>
      <w:r w:rsidR="00082529" w:rsidRPr="00B81CD9">
        <w:rPr>
          <w:rFonts w:cs="Arial"/>
          <w:color w:val="000000" w:themeColor="text1"/>
        </w:rPr>
        <w:t xml:space="preserve">. </w:t>
      </w:r>
    </w:p>
    <w:p w14:paraId="1B5FA975" w14:textId="6A97499E" w:rsidR="002C3768" w:rsidRPr="00B81CD9" w:rsidRDefault="254A9DA0" w:rsidP="002C3768">
      <w:pPr>
        <w:pStyle w:val="ListParagraph"/>
        <w:numPr>
          <w:ilvl w:val="1"/>
          <w:numId w:val="1"/>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The Committee receives an iterative workplan for its forthcoming meetings as a standing item at each meeting. </w:t>
      </w:r>
    </w:p>
    <w:p w14:paraId="23F1A1D4" w14:textId="4C6009AA" w:rsidR="009D67D1" w:rsidRPr="00B81CD9" w:rsidRDefault="00475CE2" w:rsidP="254A9DA0">
      <w:pPr>
        <w:pStyle w:val="ListParagraph"/>
        <w:numPr>
          <w:ilvl w:val="0"/>
          <w:numId w:val="1"/>
        </w:numPr>
        <w:snapToGrid w:val="0"/>
        <w:spacing w:before="240" w:line="312" w:lineRule="auto"/>
        <w:ind w:left="709" w:hanging="709"/>
        <w:contextualSpacing w:val="0"/>
        <w:jc w:val="left"/>
        <w:rPr>
          <w:rFonts w:cs="Arial"/>
          <w:b/>
          <w:bCs/>
          <w:color w:val="000000" w:themeColor="text1"/>
        </w:rPr>
      </w:pPr>
      <w:r w:rsidRPr="00B81CD9">
        <w:rPr>
          <w:rFonts w:cs="Arial"/>
          <w:b/>
          <w:bCs/>
          <w:color w:val="000000" w:themeColor="text1"/>
        </w:rPr>
        <w:t>I</w:t>
      </w:r>
      <w:r w:rsidR="254A9DA0" w:rsidRPr="00B81CD9">
        <w:rPr>
          <w:rFonts w:cs="Arial"/>
          <w:b/>
          <w:bCs/>
          <w:color w:val="000000" w:themeColor="text1"/>
        </w:rPr>
        <w:t>nternal Audit</w:t>
      </w:r>
    </w:p>
    <w:p w14:paraId="07D9FE69" w14:textId="77777777" w:rsidR="00FF07C6" w:rsidRPr="00B81CD9" w:rsidRDefault="00FF07C6" w:rsidP="00FF07C6">
      <w:pPr>
        <w:snapToGrid w:val="0"/>
        <w:spacing w:before="240" w:line="312" w:lineRule="auto"/>
        <w:jc w:val="left"/>
        <w:rPr>
          <w:rFonts w:cs="Arial"/>
          <w:i/>
          <w:iCs/>
          <w:color w:val="000000" w:themeColor="text1"/>
          <w:szCs w:val="22"/>
        </w:rPr>
      </w:pPr>
      <w:r w:rsidRPr="00B81CD9">
        <w:rPr>
          <w:rFonts w:cs="Arial"/>
          <w:i/>
          <w:iCs/>
          <w:color w:val="000000" w:themeColor="text1"/>
          <w:szCs w:val="22"/>
        </w:rPr>
        <w:t>Internal Audit Provider</w:t>
      </w:r>
    </w:p>
    <w:p w14:paraId="7CF177A5" w14:textId="5C9F062F" w:rsidR="00E46981" w:rsidRPr="00B81CD9" w:rsidRDefault="00082529" w:rsidP="254A9DA0">
      <w:pPr>
        <w:pStyle w:val="ListParagraph"/>
        <w:numPr>
          <w:ilvl w:val="1"/>
          <w:numId w:val="1"/>
        </w:numPr>
        <w:snapToGrid w:val="0"/>
        <w:spacing w:before="240" w:line="312" w:lineRule="auto"/>
        <w:ind w:left="709" w:hanging="709"/>
        <w:jc w:val="left"/>
        <w:rPr>
          <w:rFonts w:cs="Arial"/>
          <w:color w:val="000000" w:themeColor="text1"/>
        </w:rPr>
      </w:pPr>
      <w:r w:rsidRPr="00B81CD9">
        <w:rPr>
          <w:color w:val="000000" w:themeColor="text1"/>
        </w:rPr>
        <w:t xml:space="preserve">The Committee relies on the work of the Internal Auditors in ascertaining the effectiveness of the University’s internal controls. </w:t>
      </w:r>
      <w:r w:rsidR="254A9DA0" w:rsidRPr="00B81CD9">
        <w:rPr>
          <w:rFonts w:cs="Arial"/>
          <w:color w:val="000000" w:themeColor="text1"/>
        </w:rPr>
        <w:t>The University re-tender</w:t>
      </w:r>
      <w:r w:rsidR="00F4242F" w:rsidRPr="00B81CD9">
        <w:rPr>
          <w:rFonts w:cs="Arial"/>
          <w:color w:val="000000" w:themeColor="text1"/>
        </w:rPr>
        <w:t>ed</w:t>
      </w:r>
      <w:r w:rsidR="254A9DA0" w:rsidRPr="00B81CD9">
        <w:rPr>
          <w:rFonts w:cs="Arial"/>
          <w:color w:val="000000" w:themeColor="text1"/>
        </w:rPr>
        <w:t xml:space="preserve"> interna</w:t>
      </w:r>
      <w:r w:rsidR="00F4242F" w:rsidRPr="00B81CD9">
        <w:rPr>
          <w:rFonts w:cs="Arial"/>
          <w:color w:val="000000" w:themeColor="text1"/>
        </w:rPr>
        <w:t>l audit services in Spring 2019, Deloitte was awarded the contract and appointed as the University’s internal audit provider from</w:t>
      </w:r>
      <w:r w:rsidR="00F94666" w:rsidRPr="00B81CD9">
        <w:rPr>
          <w:rFonts w:cs="Arial"/>
          <w:color w:val="000000" w:themeColor="text1"/>
        </w:rPr>
        <w:t xml:space="preserve"> 1 August 2019 for a </w:t>
      </w:r>
      <w:r w:rsidR="00F94666" w:rsidRPr="00B81CD9">
        <w:rPr>
          <w:color w:val="000000" w:themeColor="text1"/>
        </w:rPr>
        <w:t xml:space="preserve">period of </w:t>
      </w:r>
      <w:r w:rsidR="006C6AF2" w:rsidRPr="00B81CD9">
        <w:rPr>
          <w:rFonts w:cs="Arial"/>
          <w:color w:val="000000" w:themeColor="text1"/>
        </w:rPr>
        <w:t>4</w:t>
      </w:r>
      <w:r w:rsidR="00F4242F" w:rsidRPr="00B81CD9">
        <w:rPr>
          <w:color w:val="000000" w:themeColor="text1"/>
        </w:rPr>
        <w:t xml:space="preserve"> years.</w:t>
      </w:r>
      <w:r w:rsidR="00FF6810" w:rsidRPr="00B81CD9">
        <w:rPr>
          <w:color w:val="000000" w:themeColor="text1"/>
        </w:rPr>
        <w:t xml:space="preserve"> A </w:t>
      </w:r>
      <w:r w:rsidR="000F4B55" w:rsidRPr="00B81CD9">
        <w:rPr>
          <w:color w:val="000000" w:themeColor="text1"/>
        </w:rPr>
        <w:t>two</w:t>
      </w:r>
      <w:r w:rsidR="00FF6810" w:rsidRPr="00B81CD9">
        <w:rPr>
          <w:color w:val="000000" w:themeColor="text1"/>
        </w:rPr>
        <w:t xml:space="preserve"> year extension to the contract was reviewed and approved by the Audit </w:t>
      </w:r>
      <w:r w:rsidR="00956CC7" w:rsidRPr="00B81CD9">
        <w:rPr>
          <w:color w:val="000000" w:themeColor="text1"/>
        </w:rPr>
        <w:t xml:space="preserve">and Risk </w:t>
      </w:r>
      <w:r w:rsidR="00FF6810" w:rsidRPr="00B81CD9">
        <w:rPr>
          <w:color w:val="000000" w:themeColor="text1"/>
        </w:rPr>
        <w:t>Committee and Board of Governors in</w:t>
      </w:r>
      <w:r w:rsidR="00B06199" w:rsidRPr="00B81CD9">
        <w:rPr>
          <w:color w:val="000000" w:themeColor="text1"/>
        </w:rPr>
        <w:t xml:space="preserve"> </w:t>
      </w:r>
      <w:r w:rsidR="00FB37D4" w:rsidRPr="00B81CD9">
        <w:rPr>
          <w:color w:val="000000" w:themeColor="text1"/>
        </w:rPr>
        <w:t>February/March</w:t>
      </w:r>
      <w:r w:rsidR="00B06199" w:rsidRPr="00B81CD9">
        <w:rPr>
          <w:color w:val="000000" w:themeColor="text1"/>
        </w:rPr>
        <w:t xml:space="preserve"> 202</w:t>
      </w:r>
      <w:r w:rsidR="00FB37D4" w:rsidRPr="00B81CD9">
        <w:rPr>
          <w:color w:val="000000" w:themeColor="text1"/>
        </w:rPr>
        <w:t>3</w:t>
      </w:r>
      <w:r w:rsidR="00B06199" w:rsidRPr="00B81CD9">
        <w:rPr>
          <w:color w:val="000000" w:themeColor="text1"/>
        </w:rPr>
        <w:t>.</w:t>
      </w:r>
    </w:p>
    <w:p w14:paraId="57750E95" w14:textId="3932C3C4" w:rsidR="00C61036" w:rsidRPr="00B81CD9" w:rsidRDefault="00C61036" w:rsidP="00C61036">
      <w:pPr>
        <w:pStyle w:val="ListParagraph"/>
        <w:snapToGrid w:val="0"/>
        <w:spacing w:before="240" w:line="312" w:lineRule="auto"/>
        <w:ind w:left="709"/>
        <w:jc w:val="left"/>
        <w:rPr>
          <w:rFonts w:cs="Arial"/>
          <w:color w:val="000000" w:themeColor="text1"/>
        </w:rPr>
      </w:pPr>
    </w:p>
    <w:p w14:paraId="64EBC6E9" w14:textId="1BB1E8D6" w:rsidR="00C61036" w:rsidRPr="00B81CD9" w:rsidRDefault="00C61036" w:rsidP="254A9DA0">
      <w:pPr>
        <w:pStyle w:val="ListParagraph"/>
        <w:numPr>
          <w:ilvl w:val="1"/>
          <w:numId w:val="1"/>
        </w:numPr>
        <w:snapToGrid w:val="0"/>
        <w:spacing w:before="240" w:line="312" w:lineRule="auto"/>
        <w:ind w:left="709" w:hanging="709"/>
        <w:jc w:val="left"/>
        <w:rPr>
          <w:rFonts w:cs="Arial"/>
          <w:color w:val="000000" w:themeColor="text1"/>
        </w:rPr>
      </w:pPr>
      <w:r w:rsidRPr="00B81CD9">
        <w:rPr>
          <w:color w:val="000000" w:themeColor="text1"/>
        </w:rPr>
        <w:t>Following a procurement exercise</w:t>
      </w:r>
      <w:r w:rsidR="005471E0" w:rsidRPr="00B81CD9">
        <w:rPr>
          <w:color w:val="000000" w:themeColor="text1"/>
        </w:rPr>
        <w:t>, at their September 2024 meeting, the Audit and Risk Committee considered a report that presented a proposal to approve the award of Internal Audit contract to UNIAC, for an initial period of three years. The award of the contract was approved by the Board of Governors at their meeting on 3</w:t>
      </w:r>
      <w:r w:rsidR="005471E0" w:rsidRPr="00B81CD9">
        <w:rPr>
          <w:color w:val="000000" w:themeColor="text1"/>
          <w:vertAlign w:val="superscript"/>
        </w:rPr>
        <w:t>rd</w:t>
      </w:r>
      <w:r w:rsidR="005471E0" w:rsidRPr="00B81CD9">
        <w:rPr>
          <w:color w:val="000000" w:themeColor="text1"/>
        </w:rPr>
        <w:t xml:space="preserve"> October 2024.</w:t>
      </w:r>
    </w:p>
    <w:p w14:paraId="34117E88" w14:textId="2F0E9405" w:rsidR="00155178" w:rsidRPr="00B81CD9" w:rsidRDefault="007227FF" w:rsidP="00155178">
      <w:pPr>
        <w:snapToGrid w:val="0"/>
        <w:spacing w:before="240" w:line="312" w:lineRule="auto"/>
        <w:jc w:val="left"/>
        <w:rPr>
          <w:rFonts w:cs="Arial"/>
          <w:i/>
          <w:iCs/>
          <w:color w:val="000000" w:themeColor="text1"/>
          <w:szCs w:val="22"/>
        </w:rPr>
      </w:pPr>
      <w:r w:rsidRPr="00B81CD9">
        <w:rPr>
          <w:rFonts w:cs="Arial"/>
          <w:i/>
          <w:iCs/>
          <w:color w:val="000000" w:themeColor="text1"/>
          <w:szCs w:val="22"/>
        </w:rPr>
        <w:t>2024/25</w:t>
      </w:r>
      <w:r w:rsidR="00AD561F" w:rsidRPr="00B81CD9">
        <w:rPr>
          <w:rFonts w:cs="Arial"/>
          <w:i/>
          <w:iCs/>
          <w:color w:val="000000" w:themeColor="text1"/>
          <w:szCs w:val="22"/>
        </w:rPr>
        <w:t xml:space="preserve">  Internal Audit Plan of Work</w:t>
      </w:r>
    </w:p>
    <w:p w14:paraId="16B906FC" w14:textId="77777777" w:rsidR="00C61036" w:rsidRPr="00B81CD9" w:rsidRDefault="00C61036" w:rsidP="00155178">
      <w:pPr>
        <w:snapToGrid w:val="0"/>
        <w:spacing w:before="240" w:line="312" w:lineRule="auto"/>
        <w:jc w:val="left"/>
        <w:rPr>
          <w:rFonts w:cs="Arial"/>
          <w:i/>
          <w:iCs/>
          <w:color w:val="000000" w:themeColor="text1"/>
          <w:szCs w:val="22"/>
        </w:rPr>
      </w:pPr>
    </w:p>
    <w:p w14:paraId="49432C40" w14:textId="779830AF" w:rsidR="00747A47" w:rsidRPr="00B81CD9" w:rsidRDefault="254A9DA0">
      <w:pPr>
        <w:pStyle w:val="ListParagraph"/>
        <w:numPr>
          <w:ilvl w:val="1"/>
          <w:numId w:val="6"/>
        </w:numPr>
        <w:shd w:val="clear" w:color="auto" w:fill="auto"/>
        <w:tabs>
          <w:tab w:val="right" w:pos="9498"/>
          <w:tab w:val="right" w:pos="9639"/>
        </w:tabs>
        <w:spacing w:after="160"/>
        <w:ind w:left="1418" w:right="225" w:hanging="709"/>
        <w:jc w:val="left"/>
        <w:rPr>
          <w:rFonts w:eastAsia="Calibri" w:cs="Arial"/>
          <w:color w:val="000000" w:themeColor="text1"/>
          <w:kern w:val="0"/>
          <w:sz w:val="23"/>
          <w:szCs w:val="23"/>
          <w:lang w:val="en-GB"/>
        </w:rPr>
      </w:pPr>
      <w:r w:rsidRPr="00B81CD9">
        <w:rPr>
          <w:rFonts w:cs="Arial"/>
          <w:color w:val="000000" w:themeColor="text1"/>
        </w:rPr>
        <w:t xml:space="preserve">At its meeting on </w:t>
      </w:r>
      <w:r w:rsidR="00CE145E" w:rsidRPr="00B81CD9">
        <w:rPr>
          <w:rFonts w:cs="Arial"/>
          <w:color w:val="000000" w:themeColor="text1"/>
        </w:rPr>
        <w:t>15</w:t>
      </w:r>
      <w:r w:rsidR="00FB37D4" w:rsidRPr="00B81CD9">
        <w:rPr>
          <w:rFonts w:cs="Arial"/>
          <w:color w:val="000000" w:themeColor="text1"/>
        </w:rPr>
        <w:t xml:space="preserve"> </w:t>
      </w:r>
      <w:r w:rsidR="00CE145E" w:rsidRPr="00B81CD9">
        <w:rPr>
          <w:rFonts w:cs="Arial"/>
          <w:color w:val="000000" w:themeColor="text1"/>
        </w:rPr>
        <w:t>May</w:t>
      </w:r>
      <w:r w:rsidR="00FB37D4" w:rsidRPr="00B81CD9">
        <w:rPr>
          <w:rFonts w:cs="Arial"/>
          <w:color w:val="000000" w:themeColor="text1"/>
        </w:rPr>
        <w:t xml:space="preserve"> </w:t>
      </w:r>
      <w:r w:rsidR="00CE145E" w:rsidRPr="00B81CD9">
        <w:rPr>
          <w:rFonts w:cs="Arial"/>
          <w:color w:val="000000" w:themeColor="text1"/>
        </w:rPr>
        <w:t>2024</w:t>
      </w:r>
      <w:r w:rsidRPr="00B81CD9">
        <w:rPr>
          <w:rFonts w:cs="Arial"/>
          <w:color w:val="000000" w:themeColor="text1"/>
        </w:rPr>
        <w:t xml:space="preserve"> the Committee </w:t>
      </w:r>
      <w:r w:rsidR="00F4242F" w:rsidRPr="00B81CD9">
        <w:rPr>
          <w:rFonts w:cs="Arial"/>
          <w:color w:val="000000" w:themeColor="text1"/>
        </w:rPr>
        <w:t>considered</w:t>
      </w:r>
      <w:r w:rsidRPr="00B81CD9">
        <w:rPr>
          <w:rFonts w:cs="Arial"/>
          <w:color w:val="000000" w:themeColor="text1"/>
        </w:rPr>
        <w:t xml:space="preserve"> </w:t>
      </w:r>
      <w:r w:rsidR="00B06199" w:rsidRPr="00B81CD9">
        <w:rPr>
          <w:rFonts w:cs="Arial"/>
          <w:color w:val="000000" w:themeColor="text1"/>
        </w:rPr>
        <w:t xml:space="preserve">a report that presented </w:t>
      </w:r>
      <w:r w:rsidR="00F4242F" w:rsidRPr="00B81CD9">
        <w:rPr>
          <w:rFonts w:cs="Arial"/>
          <w:color w:val="000000" w:themeColor="text1"/>
        </w:rPr>
        <w:t>Deloitte’s</w:t>
      </w:r>
      <w:r w:rsidRPr="00B81CD9">
        <w:rPr>
          <w:rFonts w:cs="Arial"/>
          <w:color w:val="000000" w:themeColor="text1"/>
        </w:rPr>
        <w:t xml:space="preserve"> Internal Audit </w:t>
      </w:r>
      <w:proofErr w:type="spellStart"/>
      <w:r w:rsidR="00865601" w:rsidRPr="00B81CD9">
        <w:rPr>
          <w:rFonts w:cs="Arial"/>
          <w:color w:val="000000" w:themeColor="text1"/>
        </w:rPr>
        <w:t>P</w:t>
      </w:r>
      <w:r w:rsidR="0077389F" w:rsidRPr="00B81CD9">
        <w:rPr>
          <w:rFonts w:cs="Arial"/>
          <w:color w:val="000000" w:themeColor="text1"/>
        </w:rPr>
        <w:t>rogramme</w:t>
      </w:r>
      <w:proofErr w:type="spellEnd"/>
      <w:r w:rsidRPr="00B81CD9">
        <w:rPr>
          <w:rFonts w:cs="Arial"/>
          <w:color w:val="000000" w:themeColor="text1"/>
        </w:rPr>
        <w:t xml:space="preserve"> for </w:t>
      </w:r>
      <w:r w:rsidR="005471E0" w:rsidRPr="00B81CD9">
        <w:rPr>
          <w:rFonts w:cs="Arial"/>
          <w:color w:val="000000" w:themeColor="text1"/>
        </w:rPr>
        <w:t>2023/24</w:t>
      </w:r>
      <w:r w:rsidR="00887680" w:rsidRPr="00B81CD9">
        <w:rPr>
          <w:rFonts w:cs="Arial"/>
          <w:color w:val="000000" w:themeColor="text1"/>
        </w:rPr>
        <w:t xml:space="preserve"> </w:t>
      </w:r>
      <w:r w:rsidR="00956CC7" w:rsidRPr="00B81CD9">
        <w:rPr>
          <w:rFonts w:cs="Arial"/>
          <w:color w:val="000000" w:themeColor="text1"/>
        </w:rPr>
        <w:t xml:space="preserve">The proposed FY </w:t>
      </w:r>
      <w:r w:rsidR="00CE145E" w:rsidRPr="00B81CD9">
        <w:rPr>
          <w:rFonts w:cs="Arial"/>
          <w:color w:val="000000" w:themeColor="text1"/>
        </w:rPr>
        <w:t>2024/25</w:t>
      </w:r>
      <w:r w:rsidR="00956CC7" w:rsidRPr="00B81CD9">
        <w:rPr>
          <w:rFonts w:cs="Arial"/>
          <w:color w:val="000000" w:themeColor="text1"/>
        </w:rPr>
        <w:t xml:space="preserve"> internal audit </w:t>
      </w:r>
      <w:r w:rsidR="00CE145E" w:rsidRPr="00B81CD9">
        <w:rPr>
          <w:rFonts w:cs="Arial"/>
          <w:color w:val="000000" w:themeColor="text1"/>
        </w:rPr>
        <w:t>plan</w:t>
      </w:r>
      <w:r w:rsidR="00956CC7" w:rsidRPr="00B81CD9">
        <w:rPr>
          <w:rFonts w:cs="Arial"/>
          <w:color w:val="000000" w:themeColor="text1"/>
        </w:rPr>
        <w:t xml:space="preserve"> was presented and agreed to include: </w:t>
      </w:r>
      <w:r w:rsidR="00CE145E" w:rsidRPr="00B81CD9">
        <w:rPr>
          <w:rFonts w:cs="Arial"/>
          <w:color w:val="000000" w:themeColor="text1"/>
        </w:rPr>
        <w:t>Health and Safety, Agents and International Recruitment, Payroll, Malware, Procure to pay, Academic Promotions.</w:t>
      </w:r>
    </w:p>
    <w:p w14:paraId="2A45C88D" w14:textId="77777777" w:rsidR="00E976BA" w:rsidRPr="00B81CD9" w:rsidRDefault="00E976BA" w:rsidP="00E976BA">
      <w:pPr>
        <w:pStyle w:val="ListParagraph"/>
        <w:shd w:val="clear" w:color="auto" w:fill="auto"/>
        <w:tabs>
          <w:tab w:val="right" w:pos="9498"/>
          <w:tab w:val="right" w:pos="9639"/>
        </w:tabs>
        <w:spacing w:after="160"/>
        <w:ind w:left="709" w:right="225"/>
        <w:jc w:val="left"/>
        <w:rPr>
          <w:rFonts w:eastAsia="Calibri" w:cs="Arial"/>
          <w:color w:val="000000" w:themeColor="text1"/>
          <w:kern w:val="0"/>
          <w:sz w:val="23"/>
          <w:szCs w:val="23"/>
          <w:lang w:val="en-GB"/>
        </w:rPr>
      </w:pPr>
    </w:p>
    <w:p w14:paraId="7FB774E0" w14:textId="7761F977" w:rsidR="007C0599" w:rsidRPr="00B81CD9" w:rsidRDefault="254A9DA0">
      <w:pPr>
        <w:pStyle w:val="ListParagraph"/>
        <w:numPr>
          <w:ilvl w:val="1"/>
          <w:numId w:val="6"/>
        </w:numPr>
        <w:shd w:val="clear" w:color="auto" w:fill="auto"/>
        <w:tabs>
          <w:tab w:val="right" w:pos="9498"/>
          <w:tab w:val="right" w:pos="9639"/>
        </w:tabs>
        <w:spacing w:after="160"/>
        <w:ind w:left="709" w:right="225" w:hanging="709"/>
        <w:jc w:val="left"/>
        <w:rPr>
          <w:rFonts w:eastAsia="Calibri" w:cs="Arial"/>
          <w:color w:val="000000" w:themeColor="text1"/>
          <w:kern w:val="0"/>
          <w:sz w:val="23"/>
          <w:szCs w:val="23"/>
          <w:lang w:val="en-GB"/>
        </w:rPr>
      </w:pPr>
      <w:r w:rsidRPr="00B81CD9">
        <w:rPr>
          <w:rFonts w:cs="Arial"/>
          <w:color w:val="000000" w:themeColor="text1"/>
        </w:rPr>
        <w:t xml:space="preserve">Table 2 </w:t>
      </w:r>
      <w:proofErr w:type="spellStart"/>
      <w:r w:rsidRPr="00B81CD9">
        <w:rPr>
          <w:rFonts w:cs="Arial"/>
          <w:color w:val="000000" w:themeColor="text1"/>
        </w:rPr>
        <w:t>summarises</w:t>
      </w:r>
      <w:proofErr w:type="spellEnd"/>
      <w:r w:rsidRPr="00B81CD9">
        <w:rPr>
          <w:rFonts w:cs="Arial"/>
          <w:color w:val="000000" w:themeColor="text1"/>
        </w:rPr>
        <w:t xml:space="preserve"> the </w:t>
      </w:r>
      <w:r w:rsidR="00CE145E" w:rsidRPr="00B81CD9">
        <w:rPr>
          <w:rFonts w:cs="Arial"/>
          <w:color w:val="000000" w:themeColor="text1"/>
        </w:rPr>
        <w:t>2024/25</w:t>
      </w:r>
      <w:r w:rsidRPr="00B81CD9">
        <w:rPr>
          <w:rFonts w:cs="Arial"/>
          <w:color w:val="000000" w:themeColor="text1"/>
        </w:rPr>
        <w:t xml:space="preserve"> audit work delivered by </w:t>
      </w:r>
      <w:r w:rsidR="007C0599" w:rsidRPr="00B81CD9">
        <w:rPr>
          <w:rFonts w:cs="Arial"/>
          <w:color w:val="000000" w:themeColor="text1"/>
        </w:rPr>
        <w:t>Deloitte</w:t>
      </w:r>
      <w:r w:rsidR="00F37019" w:rsidRPr="00B81CD9">
        <w:rPr>
          <w:rFonts w:cs="Arial"/>
          <w:color w:val="000000" w:themeColor="text1"/>
        </w:rPr>
        <w:t>:</w:t>
      </w:r>
    </w:p>
    <w:p w14:paraId="3E365B8E" w14:textId="525945D9" w:rsidR="00D64973" w:rsidRPr="00B81CD9" w:rsidRDefault="007C0599" w:rsidP="00D64973">
      <w:pPr>
        <w:shd w:val="clear" w:color="auto" w:fill="auto"/>
        <w:snapToGrid w:val="0"/>
        <w:spacing w:before="240" w:line="240" w:lineRule="auto"/>
        <w:jc w:val="left"/>
        <w:rPr>
          <w:rFonts w:cs="Arial"/>
          <w:b/>
          <w:bCs/>
          <w:i/>
          <w:iCs/>
          <w:color w:val="000000" w:themeColor="text1"/>
          <w:sz w:val="20"/>
          <w:szCs w:val="20"/>
        </w:rPr>
      </w:pPr>
      <w:r w:rsidRPr="00B81CD9">
        <w:rPr>
          <w:rFonts w:cs="Arial"/>
          <w:b/>
          <w:bCs/>
          <w:i/>
          <w:iCs/>
          <w:color w:val="000000" w:themeColor="text1"/>
          <w:sz w:val="20"/>
          <w:szCs w:val="20"/>
        </w:rPr>
        <w:lastRenderedPageBreak/>
        <w:t>T</w:t>
      </w:r>
      <w:r w:rsidR="00B21640" w:rsidRPr="00B81CD9">
        <w:rPr>
          <w:rFonts w:cs="Arial"/>
          <w:b/>
          <w:bCs/>
          <w:i/>
          <w:iCs/>
          <w:color w:val="000000" w:themeColor="text1"/>
          <w:sz w:val="20"/>
          <w:szCs w:val="20"/>
        </w:rPr>
        <w:t xml:space="preserve">able 2: </w:t>
      </w:r>
      <w:r w:rsidR="00CE145E" w:rsidRPr="00B81CD9">
        <w:rPr>
          <w:rFonts w:cs="Arial"/>
          <w:b/>
          <w:bCs/>
          <w:i/>
          <w:iCs/>
          <w:color w:val="000000" w:themeColor="text1"/>
          <w:sz w:val="20"/>
          <w:szCs w:val="20"/>
        </w:rPr>
        <w:t>2024/25</w:t>
      </w:r>
      <w:r w:rsidR="00152BC8" w:rsidRPr="00B81CD9">
        <w:rPr>
          <w:rFonts w:cs="Arial"/>
          <w:b/>
          <w:bCs/>
          <w:i/>
          <w:iCs/>
          <w:color w:val="000000" w:themeColor="text1"/>
          <w:sz w:val="20"/>
          <w:szCs w:val="20"/>
        </w:rPr>
        <w:t xml:space="preserve"> audit work</w:t>
      </w:r>
      <w:r w:rsidR="254A9DA0" w:rsidRPr="00B81CD9">
        <w:rPr>
          <w:rFonts w:cs="Arial"/>
          <w:b/>
          <w:bCs/>
          <w:i/>
          <w:iCs/>
          <w:color w:val="000000" w:themeColor="text1"/>
          <w:sz w:val="20"/>
          <w:szCs w:val="20"/>
        </w:rPr>
        <w:t xml:space="preserve"> delivered</w:t>
      </w:r>
      <w:r w:rsidR="00D64973" w:rsidRPr="00B81CD9">
        <w:rPr>
          <w:rFonts w:cs="Arial"/>
          <w:b/>
          <w:bCs/>
          <w:i/>
          <w:iCs/>
          <w:color w:val="000000" w:themeColor="text1"/>
          <w:sz w:val="20"/>
          <w:szCs w:val="20"/>
        </w:rPr>
        <w:t xml:space="preserve"> – Internal Audit Services delivered by Deloitte</w:t>
      </w:r>
      <w:r w:rsidR="00CC64AA" w:rsidRPr="00B81CD9">
        <w:rPr>
          <w:rFonts w:cs="Arial"/>
          <w:b/>
          <w:bCs/>
          <w:i/>
          <w:iCs/>
          <w:color w:val="000000" w:themeColor="text1"/>
          <w:sz w:val="20"/>
          <w:szCs w:val="20"/>
        </w:rPr>
        <w:t xml:space="preserve"> (for definitions of Report classification and recommendation priority please see appendix A)</w:t>
      </w:r>
    </w:p>
    <w:p w14:paraId="46632197" w14:textId="77777777" w:rsidR="00D64973" w:rsidRPr="00B81CD9" w:rsidRDefault="00D64973" w:rsidP="00D64973">
      <w:pPr>
        <w:spacing w:line="240" w:lineRule="auto"/>
        <w:rPr>
          <w:rFonts w:cs="Arial"/>
          <w:color w:val="FFFFFF" w:themeColor="background1"/>
        </w:rPr>
      </w:pPr>
    </w:p>
    <w:tbl>
      <w:tblPr>
        <w:tblW w:w="6811" w:type="dxa"/>
        <w:tblInd w:w="-17" w:type="dxa"/>
        <w:shd w:val="clear" w:color="auto" w:fill="FFFFFF"/>
        <w:tblLayout w:type="fixed"/>
        <w:tblLook w:val="0000" w:firstRow="0" w:lastRow="0" w:firstColumn="0" w:lastColumn="0" w:noHBand="0" w:noVBand="0"/>
      </w:tblPr>
      <w:tblGrid>
        <w:gridCol w:w="3544"/>
        <w:gridCol w:w="1424"/>
        <w:gridCol w:w="567"/>
        <w:gridCol w:w="552"/>
        <w:gridCol w:w="724"/>
      </w:tblGrid>
      <w:tr w:rsidR="00B81CD9" w:rsidRPr="00B81CD9" w14:paraId="59650AA6" w14:textId="77777777" w:rsidTr="00CE145E">
        <w:trPr>
          <w:cantSplit/>
          <w:trHeight w:val="63"/>
          <w:tblHeader/>
        </w:trPr>
        <w:tc>
          <w:tcPr>
            <w:tcW w:w="3544" w:type="dxa"/>
            <w:vMerge w:val="restart"/>
            <w:tcBorders>
              <w:top w:val="single" w:sz="8" w:space="0" w:color="000000" w:themeColor="text1"/>
              <w:left w:val="single" w:sz="8" w:space="0" w:color="000000" w:themeColor="text1"/>
              <w:right w:val="single" w:sz="4" w:space="0" w:color="FFFFFF" w:themeColor="background1"/>
            </w:tcBorders>
            <w:shd w:val="clear" w:color="auto" w:fill="000000" w:themeFill="text1"/>
            <w:tcMar>
              <w:top w:w="0" w:type="dxa"/>
              <w:left w:w="0" w:type="dxa"/>
              <w:bottom w:w="0" w:type="dxa"/>
              <w:right w:w="0" w:type="dxa"/>
            </w:tcMar>
          </w:tcPr>
          <w:p w14:paraId="640C70E0" w14:textId="77777777" w:rsidR="00AB0F82" w:rsidRPr="00B81CD9" w:rsidRDefault="00AB0F82" w:rsidP="00AD6A51">
            <w:pPr>
              <w:pStyle w:val="Heading2AA"/>
              <w:adjustRightInd w:val="0"/>
              <w:snapToGrid w:val="0"/>
              <w:spacing w:before="120"/>
              <w:ind w:left="567" w:right="-19" w:hanging="425"/>
              <w:jc w:val="center"/>
              <w:rPr>
                <w:rFonts w:ascii="Arial" w:hAnsi="Arial" w:cs="Arial"/>
                <w:color w:val="FFFFFF" w:themeColor="background1"/>
                <w:sz w:val="17"/>
                <w:szCs w:val="17"/>
              </w:rPr>
            </w:pPr>
            <w:r w:rsidRPr="00B81CD9">
              <w:rPr>
                <w:rFonts w:ascii="Arial" w:hAnsi="Arial" w:cs="Arial"/>
                <w:color w:val="FFFFFF" w:themeColor="background1"/>
                <w:sz w:val="17"/>
                <w:szCs w:val="17"/>
              </w:rPr>
              <w:t>Audit area</w:t>
            </w:r>
          </w:p>
        </w:tc>
        <w:tc>
          <w:tcPr>
            <w:tcW w:w="1424" w:type="dxa"/>
            <w:vMerge w:val="restart"/>
            <w:tcBorders>
              <w:top w:val="single" w:sz="8" w:space="0" w:color="000000" w:themeColor="text1"/>
              <w:left w:val="single" w:sz="4" w:space="0" w:color="FFFFFF" w:themeColor="background1"/>
              <w:right w:val="single" w:sz="4" w:space="0" w:color="FFFFFF" w:themeColor="background1"/>
            </w:tcBorders>
            <w:shd w:val="clear" w:color="auto" w:fill="000000" w:themeFill="text1"/>
          </w:tcPr>
          <w:p w14:paraId="2CC34D95" w14:textId="5AFC6380" w:rsidR="00AB0F82" w:rsidRPr="00B81CD9" w:rsidRDefault="00AB0F82" w:rsidP="00AD6A51">
            <w:pPr>
              <w:pStyle w:val="Heading2AA"/>
              <w:adjustRightInd w:val="0"/>
              <w:snapToGrid w:val="0"/>
              <w:spacing w:before="120"/>
              <w:ind w:left="-108" w:right="-19" w:hanging="10"/>
              <w:jc w:val="center"/>
              <w:outlineLvl w:val="9"/>
              <w:rPr>
                <w:rFonts w:ascii="Arial" w:hAnsi="Arial" w:cs="Arial"/>
                <w:color w:val="FFFFFF" w:themeColor="background1"/>
                <w:sz w:val="17"/>
                <w:szCs w:val="17"/>
              </w:rPr>
            </w:pPr>
            <w:r w:rsidRPr="00B81CD9">
              <w:rPr>
                <w:rFonts w:ascii="Arial" w:hAnsi="Arial" w:cs="Arial"/>
                <w:color w:val="FFFFFF" w:themeColor="background1"/>
                <w:sz w:val="17"/>
                <w:szCs w:val="17"/>
              </w:rPr>
              <w:t>Report</w:t>
            </w:r>
            <w:r w:rsidRPr="00B81CD9">
              <w:rPr>
                <w:rFonts w:ascii="Arial" w:hAnsi="Arial" w:cs="Arial"/>
                <w:color w:val="FFFFFF" w:themeColor="background1"/>
                <w:sz w:val="17"/>
                <w:szCs w:val="17"/>
              </w:rPr>
              <w:br/>
              <w:t>Classification</w:t>
            </w:r>
          </w:p>
        </w:tc>
        <w:tc>
          <w:tcPr>
            <w:tcW w:w="1843" w:type="dxa"/>
            <w:gridSpan w:val="3"/>
            <w:tcBorders>
              <w:top w:val="single" w:sz="8" w:space="0" w:color="000000" w:themeColor="text1"/>
              <w:left w:val="single" w:sz="4" w:space="0" w:color="FFFFFF" w:themeColor="background1"/>
              <w:bottom w:val="single" w:sz="8" w:space="0" w:color="000000" w:themeColor="text1"/>
              <w:right w:val="single" w:sz="8" w:space="0" w:color="000000" w:themeColor="text1"/>
            </w:tcBorders>
            <w:shd w:val="clear" w:color="auto" w:fill="000000" w:themeFill="text1"/>
            <w:vAlign w:val="center"/>
          </w:tcPr>
          <w:p w14:paraId="5B841FA0" w14:textId="234C54FC" w:rsidR="00AB0F82" w:rsidRPr="00B81CD9" w:rsidRDefault="002F1C14" w:rsidP="00AD6A51">
            <w:pPr>
              <w:pStyle w:val="Heading2AA"/>
              <w:adjustRightInd w:val="0"/>
              <w:snapToGrid w:val="0"/>
              <w:spacing w:before="120"/>
              <w:ind w:left="567" w:right="-19" w:hanging="425"/>
              <w:jc w:val="center"/>
              <w:outlineLvl w:val="9"/>
              <w:rPr>
                <w:rFonts w:ascii="Arial" w:hAnsi="Arial" w:cs="Arial"/>
                <w:color w:val="FFFFFF" w:themeColor="background1"/>
                <w:sz w:val="17"/>
                <w:szCs w:val="17"/>
              </w:rPr>
            </w:pPr>
            <w:r w:rsidRPr="00B81CD9">
              <w:rPr>
                <w:rFonts w:ascii="Arial" w:hAnsi="Arial" w:cs="Arial"/>
                <w:color w:val="FFFFFF" w:themeColor="background1"/>
                <w:sz w:val="17"/>
                <w:szCs w:val="17"/>
              </w:rPr>
              <w:t>Observation</w:t>
            </w:r>
            <w:r w:rsidR="00AB0F82" w:rsidRPr="00B81CD9">
              <w:rPr>
                <w:rFonts w:ascii="Arial" w:hAnsi="Arial" w:cs="Arial"/>
                <w:color w:val="FFFFFF" w:themeColor="background1"/>
                <w:sz w:val="17"/>
                <w:szCs w:val="17"/>
              </w:rPr>
              <w:t xml:space="preserve"> priority</w:t>
            </w:r>
          </w:p>
        </w:tc>
      </w:tr>
      <w:tr w:rsidR="00B81CD9" w:rsidRPr="00B81CD9" w14:paraId="268924B4" w14:textId="77777777" w:rsidTr="00CE145E">
        <w:trPr>
          <w:cantSplit/>
          <w:trHeight w:val="626"/>
          <w:tblHeader/>
        </w:trPr>
        <w:tc>
          <w:tcPr>
            <w:tcW w:w="3544" w:type="dxa"/>
            <w:vMerge/>
            <w:tcBorders>
              <w:left w:val="single" w:sz="8" w:space="0" w:color="000000"/>
              <w:bottom w:val="single" w:sz="4" w:space="0" w:color="auto"/>
              <w:right w:val="single" w:sz="4" w:space="0" w:color="FFFFFF" w:themeColor="background1"/>
            </w:tcBorders>
            <w:shd w:val="clear" w:color="auto" w:fill="000000" w:themeFill="text1"/>
            <w:tcMar>
              <w:top w:w="0" w:type="dxa"/>
              <w:left w:w="0" w:type="dxa"/>
              <w:bottom w:w="0" w:type="dxa"/>
              <w:right w:w="0" w:type="dxa"/>
            </w:tcMar>
            <w:vAlign w:val="center"/>
          </w:tcPr>
          <w:p w14:paraId="145654F4" w14:textId="77777777" w:rsidR="00CE145E" w:rsidRPr="00B81CD9" w:rsidRDefault="00CE145E" w:rsidP="00AD6A51">
            <w:pPr>
              <w:pStyle w:val="Heading2AA"/>
              <w:adjustRightInd w:val="0"/>
              <w:snapToGrid w:val="0"/>
              <w:spacing w:before="120"/>
              <w:ind w:left="567" w:right="-19" w:hanging="425"/>
              <w:jc w:val="center"/>
              <w:rPr>
                <w:rFonts w:ascii="Arial" w:hAnsi="Arial" w:cs="Arial"/>
                <w:color w:val="FFFFFF" w:themeColor="background1"/>
                <w:sz w:val="17"/>
                <w:szCs w:val="17"/>
              </w:rPr>
            </w:pPr>
          </w:p>
        </w:tc>
        <w:tc>
          <w:tcPr>
            <w:tcW w:w="1424" w:type="dxa"/>
            <w:vMerge/>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25BADCDC" w14:textId="77777777" w:rsidR="00CE145E" w:rsidRPr="00B81CD9" w:rsidRDefault="00CE145E" w:rsidP="00AD6A51">
            <w:pPr>
              <w:pStyle w:val="Heading2AA"/>
              <w:adjustRightInd w:val="0"/>
              <w:snapToGrid w:val="0"/>
              <w:spacing w:before="120"/>
              <w:ind w:left="567" w:right="-19" w:hanging="425"/>
              <w:jc w:val="center"/>
              <w:outlineLvl w:val="9"/>
              <w:rPr>
                <w:rFonts w:ascii="Arial" w:hAnsi="Arial" w:cs="Arial"/>
                <w:color w:val="FFFFFF" w:themeColor="background1"/>
                <w:sz w:val="17"/>
                <w:szCs w:val="17"/>
              </w:rPr>
            </w:pPr>
          </w:p>
        </w:tc>
        <w:tc>
          <w:tcPr>
            <w:tcW w:w="567" w:type="dxa"/>
            <w:tcBorders>
              <w:top w:val="single" w:sz="8" w:space="0" w:color="000000" w:themeColor="text1"/>
              <w:left w:val="single" w:sz="4" w:space="0" w:color="FFFFFF" w:themeColor="background1"/>
              <w:bottom w:val="single" w:sz="4" w:space="0" w:color="auto"/>
              <w:right w:val="single" w:sz="8" w:space="0" w:color="000000" w:themeColor="text1"/>
            </w:tcBorders>
            <w:shd w:val="clear" w:color="auto" w:fill="000000" w:themeFill="text1"/>
            <w:vAlign w:val="center"/>
          </w:tcPr>
          <w:p w14:paraId="0CB7A87C" w14:textId="77777777" w:rsidR="00CE145E" w:rsidRPr="00B81CD9" w:rsidRDefault="00CE145E" w:rsidP="00AD6A51">
            <w:pPr>
              <w:pStyle w:val="Heading2AA"/>
              <w:adjustRightInd w:val="0"/>
              <w:snapToGrid w:val="0"/>
              <w:ind w:left="567" w:right="-17" w:hanging="567"/>
              <w:jc w:val="center"/>
              <w:outlineLvl w:val="9"/>
              <w:rPr>
                <w:rFonts w:ascii="Arial" w:hAnsi="Arial" w:cs="Arial"/>
                <w:color w:val="FFFFFF" w:themeColor="background1"/>
                <w:sz w:val="10"/>
                <w:szCs w:val="10"/>
              </w:rPr>
            </w:pPr>
            <w:r w:rsidRPr="00B81CD9">
              <w:rPr>
                <w:rFonts w:ascii="Arial" w:hAnsi="Arial" w:cs="Arial"/>
                <w:color w:val="FFFFFF" w:themeColor="background1"/>
                <w:sz w:val="10"/>
                <w:szCs w:val="10"/>
              </w:rPr>
              <w:t>1</w:t>
            </w:r>
          </w:p>
        </w:tc>
        <w:tc>
          <w:tcPr>
            <w:tcW w:w="552"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000000" w:themeFill="text1"/>
            <w:vAlign w:val="center"/>
          </w:tcPr>
          <w:p w14:paraId="7CC7583D" w14:textId="77777777" w:rsidR="00CE145E" w:rsidRPr="00B81CD9" w:rsidRDefault="00CE145E" w:rsidP="00AD6A51">
            <w:pPr>
              <w:pStyle w:val="Heading2AA"/>
              <w:adjustRightInd w:val="0"/>
              <w:snapToGrid w:val="0"/>
              <w:ind w:left="567" w:right="-17" w:hanging="567"/>
              <w:jc w:val="center"/>
              <w:outlineLvl w:val="9"/>
              <w:rPr>
                <w:rFonts w:ascii="Arial" w:hAnsi="Arial" w:cs="Arial"/>
                <w:color w:val="FFFFFF" w:themeColor="background1"/>
                <w:sz w:val="10"/>
                <w:szCs w:val="10"/>
              </w:rPr>
            </w:pPr>
            <w:r w:rsidRPr="00B81CD9">
              <w:rPr>
                <w:rFonts w:ascii="Arial" w:hAnsi="Arial" w:cs="Arial"/>
                <w:color w:val="FFFFFF" w:themeColor="background1"/>
                <w:sz w:val="10"/>
                <w:szCs w:val="10"/>
              </w:rPr>
              <w:t>2</w:t>
            </w:r>
          </w:p>
        </w:tc>
        <w:tc>
          <w:tcPr>
            <w:tcW w:w="72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000000" w:themeFill="text1"/>
            <w:vAlign w:val="center"/>
          </w:tcPr>
          <w:p w14:paraId="06910909" w14:textId="77777777" w:rsidR="00CE145E" w:rsidRPr="00B81CD9" w:rsidRDefault="00CE145E" w:rsidP="00AD6A51">
            <w:pPr>
              <w:pStyle w:val="Heading2AA"/>
              <w:adjustRightInd w:val="0"/>
              <w:snapToGrid w:val="0"/>
              <w:ind w:left="567" w:right="-17" w:hanging="567"/>
              <w:jc w:val="center"/>
              <w:outlineLvl w:val="9"/>
              <w:rPr>
                <w:rFonts w:ascii="Arial" w:hAnsi="Arial" w:cs="Arial"/>
                <w:color w:val="FFFFFF" w:themeColor="background1"/>
                <w:sz w:val="10"/>
                <w:szCs w:val="10"/>
              </w:rPr>
            </w:pPr>
            <w:r w:rsidRPr="00B81CD9">
              <w:rPr>
                <w:rFonts w:ascii="Arial" w:hAnsi="Arial" w:cs="Arial"/>
                <w:color w:val="FFFFFF" w:themeColor="background1"/>
                <w:sz w:val="10"/>
                <w:szCs w:val="10"/>
              </w:rPr>
              <w:t>3</w:t>
            </w:r>
          </w:p>
        </w:tc>
      </w:tr>
      <w:tr w:rsidR="00BF0879" w:rsidRPr="00B81CD9" w14:paraId="3EF2E287"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0B6E9BC3" w14:textId="50F19E59"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Payroll</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F9652" w14:textId="108C9DE3" w:rsidR="00CE145E" w:rsidRPr="00B81CD9" w:rsidRDefault="00CE145E" w:rsidP="00AD6A51">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No assurance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6ADEB" w14:textId="163283D4"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9F3" w14:textId="5F307774"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2</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275A" w14:textId="0993E528"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w:t>
            </w:r>
          </w:p>
        </w:tc>
      </w:tr>
      <w:tr w:rsidR="00BF0879" w:rsidRPr="00B81CD9" w14:paraId="18FB8F1B"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481AF622" w14:textId="3678828D"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Agents and International Recruitment</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CB066" w14:textId="644D456F" w:rsidR="00CE145E" w:rsidRPr="00B81CD9" w:rsidRDefault="00CE145E" w:rsidP="00AD6A51">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Limited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827F2" w14:textId="2167E0E9"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6885" w14:textId="1770408F"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3AF07" w14:textId="0DC5A488"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1</w:t>
            </w:r>
          </w:p>
        </w:tc>
      </w:tr>
      <w:tr w:rsidR="00BF0879" w:rsidRPr="00B81CD9" w14:paraId="31300029"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5AF3D8E6" w14:textId="06E920F8"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Procure to pay</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50F90" w14:textId="2E34E273" w:rsidR="00CE145E" w:rsidRPr="00B81CD9" w:rsidRDefault="00CE145E" w:rsidP="00AD6A51">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Limited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2CB5A" w14:textId="6236FB9F"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FEC7A" w14:textId="6279734C" w:rsidR="00CE145E" w:rsidRPr="00B81CD9" w:rsidRDefault="00CE145E" w:rsidP="00990DB0">
            <w:pPr>
              <w:pStyle w:val="BodyA"/>
              <w:adjustRightInd w:val="0"/>
              <w:snapToGrid w:val="0"/>
              <w:spacing w:before="120"/>
              <w:ind w:left="166" w:hanging="104"/>
              <w:rPr>
                <w:rFonts w:ascii="Arial" w:hAnsi="Arial" w:cs="Arial"/>
                <w:color w:val="000000" w:themeColor="text1"/>
                <w:sz w:val="16"/>
                <w:szCs w:val="16"/>
              </w:rPr>
            </w:pPr>
            <w:r w:rsidRPr="00B81CD9">
              <w:rPr>
                <w:rFonts w:ascii="Arial" w:hAnsi="Arial" w:cs="Arial"/>
                <w:color w:val="000000" w:themeColor="text1"/>
                <w:sz w:val="16"/>
                <w:szCs w:val="16"/>
              </w:rPr>
              <w:t>1</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FC150" w14:textId="341226BE"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1</w:t>
            </w:r>
          </w:p>
        </w:tc>
      </w:tr>
      <w:tr w:rsidR="00BF0879" w:rsidRPr="00B81CD9" w14:paraId="3DA65CA2"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44AA46B5" w14:textId="48EB2314"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Academic Promotions</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83D58" w14:textId="62322DA0" w:rsidR="00CE145E" w:rsidRPr="00B81CD9" w:rsidRDefault="00CE145E" w:rsidP="00990DB0">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Moderate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65C65" w14:textId="32BAC304"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593E" w14:textId="2976CF64"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2</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39576" w14:textId="4A8B79C0"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2</w:t>
            </w:r>
          </w:p>
        </w:tc>
      </w:tr>
      <w:tr w:rsidR="00BF0879" w:rsidRPr="00B81CD9" w14:paraId="5A0D3658"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5FDDC98A" w14:textId="1071DF0D"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Health and Safety</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8F85" w14:textId="227133AA" w:rsidR="00CE145E" w:rsidRPr="00B81CD9" w:rsidRDefault="00CE145E" w:rsidP="0011009B">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Moderate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3B9BB" w14:textId="528B2106"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21A9" w14:textId="1EAD7FEC"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D2B5B" w14:textId="76A5EBC0"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3</w:t>
            </w:r>
          </w:p>
        </w:tc>
      </w:tr>
      <w:tr w:rsidR="00BF0879" w:rsidRPr="00B81CD9" w14:paraId="28A46842" w14:textId="77777777" w:rsidTr="00CE145E">
        <w:trPr>
          <w:cantSplit/>
          <w:trHeight w:val="511"/>
        </w:trPr>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64D7836A" w14:textId="1D1417BB" w:rsidR="00CE145E" w:rsidRPr="00B81CD9" w:rsidRDefault="00CE145E" w:rsidP="00AD6A51">
            <w:pPr>
              <w:pStyle w:val="BodyA"/>
              <w:adjustRightInd w:val="0"/>
              <w:snapToGrid w:val="0"/>
              <w:spacing w:before="120"/>
              <w:ind w:left="127"/>
              <w:rPr>
                <w:rFonts w:ascii="Arial" w:hAnsi="Arial" w:cs="Arial"/>
                <w:b/>
                <w:bCs/>
                <w:color w:val="000000" w:themeColor="text1"/>
                <w:sz w:val="17"/>
                <w:szCs w:val="17"/>
              </w:rPr>
            </w:pPr>
            <w:r w:rsidRPr="00B81CD9">
              <w:rPr>
                <w:rFonts w:ascii="Arial" w:hAnsi="Arial" w:cs="Arial"/>
                <w:b/>
                <w:bCs/>
                <w:color w:val="000000" w:themeColor="text1"/>
                <w:sz w:val="17"/>
                <w:szCs w:val="17"/>
              </w:rPr>
              <w:t>Malware</w:t>
            </w:r>
          </w:p>
        </w:tc>
        <w:tc>
          <w:tcPr>
            <w:tcW w:w="1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BE4C" w14:textId="07A9F695" w:rsidR="00CE145E" w:rsidRPr="00B81CD9" w:rsidRDefault="00CE145E" w:rsidP="00AD6A51">
            <w:pPr>
              <w:pStyle w:val="BodyA"/>
              <w:adjustRightInd w:val="0"/>
              <w:snapToGrid w:val="0"/>
              <w:spacing w:before="120"/>
              <w:ind w:left="24"/>
              <w:jc w:val="center"/>
              <w:rPr>
                <w:rFonts w:ascii="Arial" w:hAnsi="Arial" w:cs="Arial"/>
                <w:b/>
                <w:bCs/>
                <w:color w:val="000000" w:themeColor="text1"/>
                <w:sz w:val="16"/>
                <w:szCs w:val="16"/>
              </w:rPr>
            </w:pPr>
            <w:r w:rsidRPr="00B81CD9">
              <w:rPr>
                <w:rFonts w:ascii="Arial" w:hAnsi="Arial" w:cs="Arial"/>
                <w:b/>
                <w:bCs/>
                <w:color w:val="000000" w:themeColor="text1"/>
                <w:sz w:val="16"/>
                <w:szCs w:val="16"/>
              </w:rPr>
              <w:t>Moderate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04F5C" w14:textId="265391D6"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w:t>
            </w:r>
          </w:p>
        </w:tc>
        <w:tc>
          <w:tcPr>
            <w:tcW w:w="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16FE3" w14:textId="34C96808"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3</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E2DC8" w14:textId="63A5929A" w:rsidR="00CE145E" w:rsidRPr="00B81CD9" w:rsidRDefault="00CE145E" w:rsidP="00AD6A51">
            <w:pPr>
              <w:pStyle w:val="BodyA"/>
              <w:adjustRightInd w:val="0"/>
              <w:snapToGrid w:val="0"/>
              <w:spacing w:before="120"/>
              <w:ind w:left="166" w:hanging="104"/>
              <w:jc w:val="center"/>
              <w:rPr>
                <w:rFonts w:ascii="Arial" w:hAnsi="Arial" w:cs="Arial"/>
                <w:color w:val="000000" w:themeColor="text1"/>
                <w:sz w:val="16"/>
                <w:szCs w:val="16"/>
              </w:rPr>
            </w:pPr>
            <w:r w:rsidRPr="00B81CD9">
              <w:rPr>
                <w:rFonts w:ascii="Arial" w:hAnsi="Arial" w:cs="Arial"/>
                <w:color w:val="000000" w:themeColor="text1"/>
                <w:sz w:val="16"/>
                <w:szCs w:val="16"/>
              </w:rPr>
              <w:t>-</w:t>
            </w:r>
          </w:p>
        </w:tc>
      </w:tr>
    </w:tbl>
    <w:p w14:paraId="13738F84" w14:textId="77777777" w:rsidR="00D64973" w:rsidRPr="00B81CD9" w:rsidRDefault="00D64973" w:rsidP="00D64973">
      <w:pPr>
        <w:spacing w:line="240" w:lineRule="auto"/>
        <w:rPr>
          <w:rFonts w:cs="Arial"/>
          <w:color w:val="000000" w:themeColor="text1"/>
        </w:rPr>
      </w:pPr>
    </w:p>
    <w:p w14:paraId="40FAE254" w14:textId="7FF55E5F" w:rsidR="00187747" w:rsidRPr="00B81CD9" w:rsidRDefault="00E75EA2" w:rsidP="00E75EA2">
      <w:pPr>
        <w:shd w:val="clear" w:color="auto" w:fill="auto"/>
        <w:snapToGrid w:val="0"/>
        <w:spacing w:before="240" w:line="240" w:lineRule="auto"/>
        <w:jc w:val="left"/>
        <w:rPr>
          <w:rFonts w:cs="Arial"/>
          <w:i/>
          <w:color w:val="000000" w:themeColor="text1"/>
          <w:szCs w:val="22"/>
        </w:rPr>
      </w:pPr>
      <w:r w:rsidRPr="00B81CD9">
        <w:rPr>
          <w:rFonts w:cs="Arial"/>
          <w:i/>
          <w:color w:val="000000" w:themeColor="text1"/>
          <w:szCs w:val="22"/>
        </w:rPr>
        <w:t xml:space="preserve">Deloitte Reports </w:t>
      </w:r>
      <w:proofErr w:type="spellStart"/>
      <w:r w:rsidRPr="00B81CD9">
        <w:rPr>
          <w:rFonts w:cs="Arial"/>
          <w:i/>
          <w:color w:val="000000" w:themeColor="text1"/>
          <w:szCs w:val="22"/>
        </w:rPr>
        <w:t>finalised</w:t>
      </w:r>
      <w:proofErr w:type="spellEnd"/>
      <w:r w:rsidRPr="00B81CD9">
        <w:rPr>
          <w:rFonts w:cs="Arial"/>
          <w:i/>
          <w:color w:val="000000" w:themeColor="text1"/>
          <w:szCs w:val="22"/>
        </w:rPr>
        <w:t xml:space="preserve"> during the FY</w:t>
      </w:r>
      <w:r w:rsidR="004720F5" w:rsidRPr="00B81CD9">
        <w:rPr>
          <w:rFonts w:cs="Arial"/>
          <w:i/>
          <w:color w:val="000000" w:themeColor="text1"/>
          <w:szCs w:val="22"/>
        </w:rPr>
        <w:t xml:space="preserve"> </w:t>
      </w:r>
      <w:r w:rsidR="00CE145E" w:rsidRPr="00B81CD9">
        <w:rPr>
          <w:rFonts w:cs="Arial"/>
          <w:i/>
          <w:color w:val="000000" w:themeColor="text1"/>
          <w:szCs w:val="22"/>
        </w:rPr>
        <w:t>2024/25</w:t>
      </w:r>
      <w:r w:rsidR="0011009B" w:rsidRPr="00B81CD9">
        <w:rPr>
          <w:rFonts w:cs="Arial"/>
          <w:i/>
          <w:color w:val="000000" w:themeColor="text1"/>
          <w:szCs w:val="22"/>
        </w:rPr>
        <w:t xml:space="preserve"> </w:t>
      </w:r>
      <w:r w:rsidRPr="00B81CD9">
        <w:rPr>
          <w:rFonts w:cs="Arial"/>
          <w:i/>
          <w:color w:val="000000" w:themeColor="text1"/>
          <w:szCs w:val="22"/>
        </w:rPr>
        <w:t>Audit Year</w:t>
      </w:r>
    </w:p>
    <w:p w14:paraId="2AA3BD06" w14:textId="481EC3CB" w:rsidR="003501D8" w:rsidRPr="00B81CD9" w:rsidRDefault="002F1C14" w:rsidP="00492BE5">
      <w:pPr>
        <w:shd w:val="clear" w:color="auto" w:fill="auto"/>
        <w:snapToGrid w:val="0"/>
        <w:spacing w:before="240" w:line="240" w:lineRule="auto"/>
        <w:jc w:val="left"/>
        <w:rPr>
          <w:rFonts w:cs="Arial"/>
          <w:i/>
          <w:color w:val="000000" w:themeColor="text1"/>
          <w:szCs w:val="22"/>
        </w:rPr>
      </w:pPr>
      <w:r w:rsidRPr="00B81CD9">
        <w:rPr>
          <w:rFonts w:cs="Arial"/>
          <w:i/>
          <w:color w:val="000000" w:themeColor="text1"/>
          <w:szCs w:val="22"/>
        </w:rPr>
        <w:t>Six</w:t>
      </w:r>
      <w:r w:rsidR="00AB0F82" w:rsidRPr="00B81CD9">
        <w:rPr>
          <w:rFonts w:cs="Arial"/>
          <w:i/>
          <w:color w:val="000000" w:themeColor="text1"/>
          <w:szCs w:val="22"/>
        </w:rPr>
        <w:t xml:space="preserve"> Audits have been completed in FY </w:t>
      </w:r>
      <w:r w:rsidR="00CE145E" w:rsidRPr="00B81CD9">
        <w:rPr>
          <w:rFonts w:cs="Arial"/>
          <w:i/>
          <w:color w:val="000000" w:themeColor="text1"/>
          <w:szCs w:val="22"/>
        </w:rPr>
        <w:t>2024/25</w:t>
      </w:r>
      <w:r w:rsidRPr="00B81CD9">
        <w:rPr>
          <w:rFonts w:cs="Arial"/>
          <w:i/>
          <w:color w:val="000000" w:themeColor="text1"/>
          <w:szCs w:val="22"/>
        </w:rPr>
        <w:t xml:space="preserve"> </w:t>
      </w:r>
      <w:r w:rsidR="00AB0F82" w:rsidRPr="00B81CD9">
        <w:rPr>
          <w:rFonts w:cs="Arial"/>
          <w:i/>
          <w:color w:val="000000" w:themeColor="text1"/>
          <w:szCs w:val="22"/>
        </w:rPr>
        <w:t xml:space="preserve">with an audit opinion. From these there have been </w:t>
      </w:r>
      <w:r w:rsidR="00CE145E" w:rsidRPr="00B81CD9">
        <w:rPr>
          <w:rFonts w:cs="Arial"/>
          <w:i/>
          <w:color w:val="000000" w:themeColor="text1"/>
          <w:szCs w:val="22"/>
        </w:rPr>
        <w:t>30</w:t>
      </w:r>
      <w:r w:rsidR="00AB0F82" w:rsidRPr="00B81CD9">
        <w:rPr>
          <w:rFonts w:cs="Arial"/>
          <w:i/>
          <w:color w:val="000000" w:themeColor="text1"/>
          <w:szCs w:val="22"/>
        </w:rPr>
        <w:t xml:space="preserve"> observations raised with </w:t>
      </w:r>
      <w:r w:rsidR="00CE145E" w:rsidRPr="00B81CD9">
        <w:rPr>
          <w:rFonts w:cs="Arial"/>
          <w:i/>
          <w:color w:val="000000" w:themeColor="text1"/>
          <w:szCs w:val="22"/>
        </w:rPr>
        <w:t>73</w:t>
      </w:r>
      <w:r w:rsidR="00AB0F82" w:rsidRPr="00B81CD9">
        <w:rPr>
          <w:rFonts w:cs="Arial"/>
          <w:i/>
          <w:color w:val="000000" w:themeColor="text1"/>
          <w:szCs w:val="22"/>
        </w:rPr>
        <w:t xml:space="preserve"> actions. An observation may have more than one action.</w:t>
      </w:r>
    </w:p>
    <w:p w14:paraId="241D9DC6" w14:textId="77777777" w:rsidR="003501D8" w:rsidRPr="00B81CD9" w:rsidRDefault="003501D8" w:rsidP="00E75EA2">
      <w:pPr>
        <w:shd w:val="clear" w:color="auto" w:fill="auto"/>
        <w:snapToGrid w:val="0"/>
        <w:spacing w:before="240" w:line="240" w:lineRule="auto"/>
        <w:jc w:val="left"/>
        <w:rPr>
          <w:color w:val="000000" w:themeColor="text1"/>
        </w:rPr>
      </w:pPr>
      <w:r w:rsidRPr="00B81CD9">
        <w:rPr>
          <w:color w:val="000000" w:themeColor="text1"/>
        </w:rPr>
        <w:t xml:space="preserve">Internal Audit Reports and Recommendation Follow-Up </w:t>
      </w:r>
    </w:p>
    <w:p w14:paraId="3FEDCBF2" w14:textId="39E11089" w:rsidR="003501D8" w:rsidRPr="00B81CD9" w:rsidRDefault="003501D8">
      <w:pPr>
        <w:pStyle w:val="ListParagraph"/>
        <w:numPr>
          <w:ilvl w:val="1"/>
          <w:numId w:val="6"/>
        </w:numPr>
        <w:shd w:val="clear" w:color="auto" w:fill="auto"/>
        <w:snapToGrid w:val="0"/>
        <w:spacing w:before="240"/>
        <w:ind w:left="709" w:hanging="709"/>
        <w:jc w:val="left"/>
        <w:rPr>
          <w:color w:val="000000" w:themeColor="text1"/>
        </w:rPr>
      </w:pPr>
      <w:r w:rsidRPr="00B81CD9">
        <w:rPr>
          <w:color w:val="000000" w:themeColor="text1"/>
        </w:rPr>
        <w:t xml:space="preserve">The Committee takes a </w:t>
      </w:r>
      <w:r w:rsidR="00D466AA" w:rsidRPr="00B81CD9">
        <w:rPr>
          <w:color w:val="000000" w:themeColor="text1"/>
        </w:rPr>
        <w:t>focused</w:t>
      </w:r>
      <w:r w:rsidRPr="00B81CD9">
        <w:rPr>
          <w:color w:val="000000" w:themeColor="text1"/>
        </w:rPr>
        <w:t xml:space="preserve"> approach in overseeing the work of the Internal Auditors. It receives a summary of the internal audit reports and outcomes and concentrates on considering the detailed findings and management responses to internal auditor recommendations. The number of recommendations in each category (rated 1-</w:t>
      </w:r>
      <w:r w:rsidR="00CE145E" w:rsidRPr="00B81CD9">
        <w:rPr>
          <w:color w:val="000000" w:themeColor="text1"/>
        </w:rPr>
        <w:t>3</w:t>
      </w:r>
      <w:r w:rsidRPr="00B81CD9">
        <w:rPr>
          <w:color w:val="000000" w:themeColor="text1"/>
        </w:rPr>
        <w:t xml:space="preserve">) are reported to the Committee. The Committee requires the Internal Auditors to monitor progress with the implementation of recommendations by officers and report to each meeting. </w:t>
      </w:r>
    </w:p>
    <w:p w14:paraId="67639743" w14:textId="67D5111A" w:rsidR="00FF368E" w:rsidRPr="00B81CD9" w:rsidRDefault="00CE145E" w:rsidP="003501D8">
      <w:pPr>
        <w:shd w:val="clear" w:color="auto" w:fill="auto"/>
        <w:snapToGrid w:val="0"/>
        <w:spacing w:before="240"/>
        <w:jc w:val="left"/>
        <w:rPr>
          <w:rFonts w:cs="Arial"/>
          <w:i/>
          <w:iCs/>
          <w:color w:val="000000" w:themeColor="text1"/>
          <w:szCs w:val="22"/>
        </w:rPr>
      </w:pPr>
      <w:r w:rsidRPr="00B81CD9">
        <w:rPr>
          <w:rFonts w:cs="Arial"/>
          <w:i/>
          <w:iCs/>
          <w:color w:val="000000" w:themeColor="text1"/>
          <w:szCs w:val="22"/>
        </w:rPr>
        <w:t>2024/25</w:t>
      </w:r>
      <w:r w:rsidR="00FF368E" w:rsidRPr="00B81CD9">
        <w:rPr>
          <w:rFonts w:cs="Arial"/>
          <w:i/>
          <w:iCs/>
          <w:color w:val="000000" w:themeColor="text1"/>
          <w:szCs w:val="22"/>
        </w:rPr>
        <w:t xml:space="preserve"> Internal Audit Opinion</w:t>
      </w:r>
    </w:p>
    <w:p w14:paraId="4B2C4D45" w14:textId="77777777" w:rsidR="003501D8" w:rsidRPr="00B81CD9" w:rsidRDefault="003501D8" w:rsidP="003501D8">
      <w:pPr>
        <w:shd w:val="clear" w:color="auto" w:fill="auto"/>
        <w:snapToGrid w:val="0"/>
        <w:spacing w:before="240"/>
        <w:jc w:val="left"/>
        <w:rPr>
          <w:rFonts w:cs="Arial"/>
          <w:i/>
          <w:iCs/>
          <w:color w:val="000000" w:themeColor="text1"/>
          <w:szCs w:val="22"/>
        </w:rPr>
      </w:pPr>
    </w:p>
    <w:p w14:paraId="47548388" w14:textId="1D5AA9D4" w:rsidR="00E367FE" w:rsidRPr="00B81CD9" w:rsidRDefault="00AE59D4" w:rsidP="002604D1">
      <w:pPr>
        <w:widowControl w:val="0"/>
        <w:spacing w:after="200"/>
        <w:ind w:left="720" w:hanging="720"/>
        <w:rPr>
          <w:b/>
          <w:color w:val="000000" w:themeColor="text1"/>
        </w:rPr>
      </w:pPr>
      <w:r w:rsidRPr="00B81CD9">
        <w:rPr>
          <w:rFonts w:cs="Arial"/>
          <w:color w:val="000000" w:themeColor="text1"/>
          <w:szCs w:val="22"/>
        </w:rPr>
        <w:t>3.</w:t>
      </w:r>
      <w:r w:rsidR="005543B0" w:rsidRPr="00B81CD9">
        <w:rPr>
          <w:rFonts w:cs="Arial"/>
          <w:color w:val="000000" w:themeColor="text1"/>
          <w:szCs w:val="22"/>
        </w:rPr>
        <w:t>6</w:t>
      </w:r>
      <w:r w:rsidR="00D01326" w:rsidRPr="00B81CD9">
        <w:rPr>
          <w:rFonts w:cs="Arial"/>
          <w:color w:val="000000" w:themeColor="text1"/>
          <w:szCs w:val="22"/>
        </w:rPr>
        <w:tab/>
      </w:r>
      <w:r w:rsidR="00024D2C" w:rsidRPr="00B81CD9">
        <w:rPr>
          <w:rFonts w:cs="Arial"/>
          <w:color w:val="000000" w:themeColor="text1"/>
          <w:szCs w:val="22"/>
        </w:rPr>
        <w:t>The Com</w:t>
      </w:r>
      <w:r w:rsidR="0018752A" w:rsidRPr="00B81CD9">
        <w:rPr>
          <w:rFonts w:cs="Arial"/>
          <w:color w:val="000000" w:themeColor="text1"/>
          <w:szCs w:val="22"/>
        </w:rPr>
        <w:t xml:space="preserve">mittee received </w:t>
      </w:r>
      <w:r w:rsidR="002604D1" w:rsidRPr="00B81CD9">
        <w:rPr>
          <w:rFonts w:cs="Arial"/>
          <w:color w:val="000000" w:themeColor="text1"/>
          <w:szCs w:val="22"/>
        </w:rPr>
        <w:t>Deloitte’s</w:t>
      </w:r>
      <w:r w:rsidR="0018752A" w:rsidRPr="00B81CD9">
        <w:rPr>
          <w:rFonts w:cs="Arial"/>
          <w:color w:val="000000" w:themeColor="text1"/>
          <w:szCs w:val="22"/>
        </w:rPr>
        <w:t xml:space="preserve"> draft </w:t>
      </w:r>
      <w:r w:rsidR="00752DBB" w:rsidRPr="00B81CD9">
        <w:rPr>
          <w:rFonts w:cs="Arial"/>
          <w:color w:val="000000" w:themeColor="text1"/>
          <w:szCs w:val="22"/>
        </w:rPr>
        <w:t>2024/25</w:t>
      </w:r>
      <w:r w:rsidR="00E75EA2" w:rsidRPr="00B81CD9">
        <w:rPr>
          <w:rFonts w:cs="Arial"/>
          <w:color w:val="000000" w:themeColor="text1"/>
          <w:szCs w:val="22"/>
        </w:rPr>
        <w:t xml:space="preserve"> </w:t>
      </w:r>
      <w:r w:rsidR="00024D2C" w:rsidRPr="00B81CD9">
        <w:rPr>
          <w:rFonts w:cs="Arial"/>
          <w:color w:val="000000" w:themeColor="text1"/>
          <w:szCs w:val="22"/>
        </w:rPr>
        <w:t>Internal Audit Annual Report</w:t>
      </w:r>
      <w:r w:rsidR="00FF368E" w:rsidRPr="00B81CD9">
        <w:rPr>
          <w:rFonts w:cs="Arial"/>
          <w:color w:val="000000" w:themeColor="text1"/>
          <w:szCs w:val="22"/>
        </w:rPr>
        <w:t xml:space="preserve"> at </w:t>
      </w:r>
      <w:r w:rsidR="00024D2C" w:rsidRPr="00B81CD9">
        <w:rPr>
          <w:rFonts w:cs="Arial"/>
          <w:color w:val="000000" w:themeColor="text1"/>
          <w:szCs w:val="22"/>
        </w:rPr>
        <w:t>i</w:t>
      </w:r>
      <w:r w:rsidR="00FF368E" w:rsidRPr="00B81CD9">
        <w:rPr>
          <w:rFonts w:cs="Arial"/>
          <w:color w:val="000000" w:themeColor="text1"/>
          <w:szCs w:val="22"/>
        </w:rPr>
        <w:t>t</w:t>
      </w:r>
      <w:r w:rsidR="00CA1836" w:rsidRPr="00B81CD9">
        <w:rPr>
          <w:rFonts w:cs="Arial"/>
          <w:color w:val="000000" w:themeColor="text1"/>
          <w:szCs w:val="22"/>
        </w:rPr>
        <w:t xml:space="preserve">s meeting on </w:t>
      </w:r>
      <w:r w:rsidR="00492BE5" w:rsidRPr="00B81CD9">
        <w:rPr>
          <w:rFonts w:cs="Arial"/>
          <w:color w:val="000000" w:themeColor="text1"/>
          <w:szCs w:val="22"/>
        </w:rPr>
        <w:t>2</w:t>
      </w:r>
      <w:r w:rsidR="00752DBB" w:rsidRPr="00B81CD9">
        <w:rPr>
          <w:rFonts w:cs="Arial"/>
          <w:color w:val="000000" w:themeColor="text1"/>
          <w:szCs w:val="22"/>
        </w:rPr>
        <w:t>5</w:t>
      </w:r>
      <w:r w:rsidR="002604D1" w:rsidRPr="00B81CD9">
        <w:rPr>
          <w:rFonts w:cs="Arial"/>
          <w:color w:val="000000" w:themeColor="text1"/>
          <w:szCs w:val="22"/>
        </w:rPr>
        <w:t xml:space="preserve"> September </w:t>
      </w:r>
      <w:r w:rsidR="004720F5" w:rsidRPr="00B81CD9">
        <w:rPr>
          <w:rFonts w:cs="Arial"/>
          <w:color w:val="000000" w:themeColor="text1"/>
          <w:szCs w:val="22"/>
        </w:rPr>
        <w:t>202</w:t>
      </w:r>
      <w:r w:rsidR="00752DBB" w:rsidRPr="00B81CD9">
        <w:rPr>
          <w:rFonts w:cs="Arial"/>
          <w:color w:val="000000" w:themeColor="text1"/>
          <w:szCs w:val="22"/>
        </w:rPr>
        <w:t>5</w:t>
      </w:r>
      <w:r w:rsidR="0018752A" w:rsidRPr="00B81CD9">
        <w:rPr>
          <w:rFonts w:cs="Arial"/>
          <w:color w:val="000000" w:themeColor="text1"/>
          <w:szCs w:val="22"/>
        </w:rPr>
        <w:t xml:space="preserve"> and the final </w:t>
      </w:r>
      <w:r w:rsidR="00752DBB" w:rsidRPr="00B81CD9">
        <w:rPr>
          <w:rFonts w:cs="Arial"/>
          <w:color w:val="000000" w:themeColor="text1"/>
          <w:szCs w:val="22"/>
        </w:rPr>
        <w:t>2024/25</w:t>
      </w:r>
      <w:r w:rsidR="001F46AB" w:rsidRPr="00B81CD9">
        <w:rPr>
          <w:rFonts w:cs="Arial"/>
          <w:color w:val="000000" w:themeColor="text1"/>
          <w:szCs w:val="22"/>
        </w:rPr>
        <w:t xml:space="preserve"> r</w:t>
      </w:r>
      <w:r w:rsidR="0018752A" w:rsidRPr="00B81CD9">
        <w:rPr>
          <w:rFonts w:cs="Arial"/>
          <w:color w:val="000000" w:themeColor="text1"/>
          <w:szCs w:val="22"/>
        </w:rPr>
        <w:t xml:space="preserve">eport at its meeting on </w:t>
      </w:r>
      <w:r w:rsidR="002F1C14" w:rsidRPr="00B81CD9">
        <w:rPr>
          <w:rFonts w:cs="Arial"/>
          <w:color w:val="000000" w:themeColor="text1"/>
          <w:szCs w:val="22"/>
        </w:rPr>
        <w:t>1</w:t>
      </w:r>
      <w:r w:rsidR="00752DBB" w:rsidRPr="00B81CD9">
        <w:rPr>
          <w:rFonts w:cs="Arial"/>
          <w:color w:val="000000" w:themeColor="text1"/>
          <w:szCs w:val="22"/>
        </w:rPr>
        <w:t>0</w:t>
      </w:r>
      <w:r w:rsidR="00CA1836" w:rsidRPr="00B81CD9">
        <w:rPr>
          <w:rFonts w:cs="Arial"/>
          <w:color w:val="000000" w:themeColor="text1"/>
          <w:szCs w:val="22"/>
        </w:rPr>
        <w:t xml:space="preserve"> November </w:t>
      </w:r>
      <w:r w:rsidR="002604D1" w:rsidRPr="00B81CD9">
        <w:rPr>
          <w:rFonts w:cs="Arial"/>
          <w:color w:val="000000" w:themeColor="text1"/>
          <w:szCs w:val="22"/>
        </w:rPr>
        <w:t>202</w:t>
      </w:r>
      <w:r w:rsidR="00752DBB" w:rsidRPr="00B81CD9">
        <w:rPr>
          <w:rFonts w:cs="Arial"/>
          <w:color w:val="000000" w:themeColor="text1"/>
          <w:szCs w:val="22"/>
        </w:rPr>
        <w:t>5</w:t>
      </w:r>
      <w:r w:rsidR="00705BC2" w:rsidRPr="00B81CD9">
        <w:rPr>
          <w:rFonts w:cs="Arial"/>
          <w:color w:val="000000" w:themeColor="text1"/>
          <w:szCs w:val="22"/>
        </w:rPr>
        <w:t>, where the Annual Report</w:t>
      </w:r>
      <w:r w:rsidR="0018752A" w:rsidRPr="00B81CD9">
        <w:rPr>
          <w:rFonts w:cs="Arial"/>
          <w:color w:val="000000" w:themeColor="text1"/>
          <w:szCs w:val="22"/>
        </w:rPr>
        <w:t xml:space="preserve"> was approved for transmission to the Board.  The Internal Audit Annual Report </w:t>
      </w:r>
      <w:r w:rsidR="00024D2C" w:rsidRPr="00B81CD9">
        <w:rPr>
          <w:rFonts w:cs="Arial"/>
          <w:color w:val="000000" w:themeColor="text1"/>
          <w:szCs w:val="22"/>
        </w:rPr>
        <w:t>set</w:t>
      </w:r>
      <w:r w:rsidR="00705BC2" w:rsidRPr="00B81CD9">
        <w:rPr>
          <w:rFonts w:cs="Arial"/>
          <w:color w:val="000000" w:themeColor="text1"/>
          <w:szCs w:val="22"/>
        </w:rPr>
        <w:t>s</w:t>
      </w:r>
      <w:r w:rsidR="00024D2C" w:rsidRPr="00B81CD9">
        <w:rPr>
          <w:rFonts w:cs="Arial"/>
          <w:color w:val="000000" w:themeColor="text1"/>
          <w:szCs w:val="22"/>
        </w:rPr>
        <w:t xml:space="preserve"> out </w:t>
      </w:r>
      <w:r w:rsidR="004E2836" w:rsidRPr="00B81CD9">
        <w:rPr>
          <w:rFonts w:cs="Arial"/>
          <w:color w:val="000000" w:themeColor="text1"/>
          <w:szCs w:val="22"/>
        </w:rPr>
        <w:t xml:space="preserve">the internal auditor’s view </w:t>
      </w:r>
      <w:r w:rsidR="00024D2C" w:rsidRPr="00B81CD9">
        <w:rPr>
          <w:rFonts w:cs="Arial"/>
          <w:color w:val="000000" w:themeColor="text1"/>
          <w:szCs w:val="22"/>
        </w:rPr>
        <w:t xml:space="preserve">on the adequacy and effectiveness of London Met’s arrangements for risk management, </w:t>
      </w:r>
      <w:r w:rsidR="006E52C0" w:rsidRPr="00B81CD9">
        <w:rPr>
          <w:rFonts w:cs="Arial"/>
          <w:color w:val="000000" w:themeColor="text1"/>
          <w:szCs w:val="22"/>
        </w:rPr>
        <w:t xml:space="preserve">internal </w:t>
      </w:r>
      <w:r w:rsidR="00024D2C" w:rsidRPr="00B81CD9">
        <w:rPr>
          <w:rFonts w:cs="Arial"/>
          <w:color w:val="000000" w:themeColor="text1"/>
          <w:szCs w:val="22"/>
        </w:rPr>
        <w:t>control and governance</w:t>
      </w:r>
      <w:r w:rsidR="002604D1" w:rsidRPr="00B81CD9">
        <w:rPr>
          <w:rFonts w:cs="Arial"/>
          <w:color w:val="000000" w:themeColor="text1"/>
          <w:szCs w:val="22"/>
        </w:rPr>
        <w:t xml:space="preserve"> </w:t>
      </w:r>
      <w:r w:rsidR="00682EBD" w:rsidRPr="00B81CD9">
        <w:rPr>
          <w:rFonts w:cs="Arial"/>
          <w:color w:val="000000" w:themeColor="text1"/>
          <w:szCs w:val="22"/>
        </w:rPr>
        <w:t>arrangements</w:t>
      </w:r>
      <w:r w:rsidR="002604D1" w:rsidRPr="00B81CD9">
        <w:rPr>
          <w:rFonts w:cs="Arial"/>
          <w:color w:val="000000" w:themeColor="text1"/>
          <w:szCs w:val="22"/>
        </w:rPr>
        <w:t>.</w:t>
      </w:r>
      <w:r w:rsidR="00ED369A" w:rsidRPr="00B81CD9">
        <w:rPr>
          <w:rFonts w:cs="Arial"/>
          <w:color w:val="000000" w:themeColor="text1"/>
          <w:szCs w:val="22"/>
        </w:rPr>
        <w:t xml:space="preserve"> </w:t>
      </w:r>
    </w:p>
    <w:p w14:paraId="2813450A" w14:textId="629E329B" w:rsidR="00752DBB" w:rsidRPr="00B81CD9" w:rsidRDefault="00AE59D4" w:rsidP="00302D98">
      <w:pPr>
        <w:widowControl w:val="0"/>
        <w:spacing w:after="200"/>
        <w:ind w:left="720" w:hanging="720"/>
        <w:rPr>
          <w:rFonts w:asciiTheme="minorBidi" w:hAnsiTheme="minorBidi" w:cstheme="minorBidi"/>
          <w:color w:val="000000" w:themeColor="text1"/>
          <w:szCs w:val="22"/>
        </w:rPr>
      </w:pPr>
      <w:r w:rsidRPr="00B81CD9">
        <w:rPr>
          <w:rFonts w:cs="Arial"/>
          <w:color w:val="000000" w:themeColor="text1"/>
          <w:szCs w:val="22"/>
        </w:rPr>
        <w:t>3.</w:t>
      </w:r>
      <w:r w:rsidR="00DC62EE" w:rsidRPr="00B81CD9">
        <w:rPr>
          <w:rFonts w:cs="Arial"/>
          <w:color w:val="000000" w:themeColor="text1"/>
          <w:szCs w:val="22"/>
        </w:rPr>
        <w:t>7</w:t>
      </w:r>
      <w:r w:rsidR="00DC62EE" w:rsidRPr="00B81CD9">
        <w:rPr>
          <w:rFonts w:asciiTheme="minorBidi" w:hAnsiTheme="minorBidi" w:cstheme="minorBidi"/>
          <w:color w:val="000000" w:themeColor="text1"/>
          <w:szCs w:val="22"/>
        </w:rPr>
        <w:t xml:space="preserve"> </w:t>
      </w:r>
      <w:r w:rsidR="00DC62EE" w:rsidRPr="00B81CD9">
        <w:rPr>
          <w:rFonts w:asciiTheme="minorBidi" w:hAnsiTheme="minorBidi" w:cstheme="minorBidi"/>
          <w:color w:val="000000" w:themeColor="text1"/>
          <w:szCs w:val="22"/>
        </w:rPr>
        <w:tab/>
        <w:t>The Internal Audit Annual opinion submitted to the meeting was as follows:</w:t>
      </w:r>
    </w:p>
    <w:p w14:paraId="754C544D" w14:textId="77777777" w:rsidR="00752DBB" w:rsidRPr="00B81CD9" w:rsidRDefault="00752DBB" w:rsidP="00752DBB">
      <w:pPr>
        <w:pStyle w:val="BodyText"/>
        <w:kinsoku w:val="0"/>
        <w:overflowPunct w:val="0"/>
        <w:spacing w:line="222" w:lineRule="exact"/>
        <w:ind w:left="709"/>
        <w:rPr>
          <w:rFonts w:eastAsia="Times New Roman" w:cs="Arial"/>
          <w:color w:val="000000" w:themeColor="text1"/>
          <w:kern w:val="0"/>
          <w:szCs w:val="22"/>
          <w:lang w:val="en-GB" w:eastAsia="en-GB"/>
        </w:rPr>
      </w:pPr>
      <w:r w:rsidRPr="00B81CD9">
        <w:rPr>
          <w:rFonts w:cs="Arial"/>
          <w:color w:val="000000" w:themeColor="text1"/>
          <w:szCs w:val="22"/>
        </w:rPr>
        <w:tab/>
      </w:r>
      <w:bookmarkStart w:id="0" w:name="Slide_5:_2._Annual_Opinion_(cont.)"/>
      <w:bookmarkEnd w:id="0"/>
      <w:r w:rsidRPr="00B81CD9">
        <w:rPr>
          <w:rFonts w:eastAsia="Times New Roman" w:cs="Arial"/>
          <w:color w:val="000000" w:themeColor="text1"/>
          <w:kern w:val="0"/>
          <w:szCs w:val="22"/>
          <w:lang w:val="en-GB" w:eastAsia="en-GB"/>
        </w:rPr>
        <w:t>Subject</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scope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work</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undertaken</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in</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delivery</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agreed</w:t>
      </w:r>
    </w:p>
    <w:p w14:paraId="0C4B172B" w14:textId="77777777" w:rsidR="00752DBB" w:rsidRPr="00B81CD9" w:rsidRDefault="00752DBB" w:rsidP="00752DBB">
      <w:pPr>
        <w:shd w:val="clear" w:color="auto" w:fill="auto"/>
        <w:kinsoku w:val="0"/>
        <w:overflowPunct w:val="0"/>
        <w:autoSpaceDE w:val="0"/>
        <w:autoSpaceDN w:val="0"/>
        <w:adjustRightInd w:val="0"/>
        <w:spacing w:before="2" w:line="235" w:lineRule="auto"/>
        <w:ind w:left="709" w:right="79"/>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FY2024/25</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internal</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14"/>
          <w:kern w:val="0"/>
          <w:szCs w:val="22"/>
          <w:lang w:val="en-GB" w:eastAsia="en-GB"/>
        </w:rPr>
        <w:t xml:space="preserve"> </w:t>
      </w:r>
      <w:r w:rsidRPr="00B81CD9">
        <w:rPr>
          <w:rFonts w:eastAsia="Times New Roman" w:cs="Arial"/>
          <w:color w:val="000000" w:themeColor="text1"/>
          <w:kern w:val="0"/>
          <w:szCs w:val="22"/>
          <w:lang w:val="en-GB" w:eastAsia="en-GB"/>
        </w:rPr>
        <w:t>plan,</w:t>
      </w:r>
      <w:r w:rsidRPr="00B81CD9">
        <w:rPr>
          <w:rFonts w:eastAsia="Times New Roman" w:cs="Arial"/>
          <w:color w:val="000000" w:themeColor="text1"/>
          <w:spacing w:val="16"/>
          <w:kern w:val="0"/>
          <w:szCs w:val="22"/>
          <w:lang w:val="en-GB" w:eastAsia="en-GB"/>
        </w:rPr>
        <w:t xml:space="preserve"> </w:t>
      </w:r>
      <w:r w:rsidRPr="00B81CD9">
        <w:rPr>
          <w:rFonts w:eastAsia="Times New Roman" w:cs="Arial"/>
          <w:color w:val="000000" w:themeColor="text1"/>
          <w:kern w:val="0"/>
          <w:szCs w:val="22"/>
          <w:lang w:val="en-GB" w:eastAsia="en-GB"/>
        </w:rPr>
        <w:t>taking</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into</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account</w:t>
      </w:r>
      <w:r w:rsidRPr="00B81CD9">
        <w:rPr>
          <w:rFonts w:eastAsia="Times New Roman" w:cs="Arial"/>
          <w:color w:val="000000" w:themeColor="text1"/>
          <w:spacing w:val="1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12"/>
          <w:kern w:val="0"/>
          <w:szCs w:val="22"/>
          <w:lang w:val="en-GB" w:eastAsia="en-GB"/>
        </w:rPr>
        <w:t xml:space="preserve"> </w:t>
      </w:r>
      <w:r w:rsidRPr="00B81CD9">
        <w:rPr>
          <w:rFonts w:eastAsia="Times New Roman" w:cs="Arial"/>
          <w:color w:val="000000" w:themeColor="text1"/>
          <w:kern w:val="0"/>
          <w:szCs w:val="22"/>
          <w:lang w:val="en-GB" w:eastAsia="en-GB"/>
        </w:rPr>
        <w:t>agreed</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rectify the</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control</w:t>
      </w:r>
      <w:r w:rsidRPr="00B81CD9">
        <w:rPr>
          <w:rFonts w:eastAsia="Times New Roman" w:cs="Arial"/>
          <w:color w:val="000000" w:themeColor="text1"/>
          <w:spacing w:val="30"/>
          <w:kern w:val="0"/>
          <w:szCs w:val="22"/>
          <w:lang w:val="en-GB" w:eastAsia="en-GB"/>
        </w:rPr>
        <w:t xml:space="preserve"> </w:t>
      </w:r>
      <w:r w:rsidRPr="00B81CD9">
        <w:rPr>
          <w:rFonts w:eastAsia="Times New Roman" w:cs="Arial"/>
          <w:color w:val="000000" w:themeColor="text1"/>
          <w:kern w:val="0"/>
          <w:szCs w:val="22"/>
          <w:lang w:val="en-GB" w:eastAsia="en-GB"/>
        </w:rPr>
        <w:t>weaknesses</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identified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implementation</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status</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thereof,</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provide</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reasonable</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22"/>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an</w:t>
      </w:r>
      <w:r w:rsidRPr="00B81CD9">
        <w:rPr>
          <w:rFonts w:eastAsia="Times New Roman" w:cs="Arial"/>
          <w:color w:val="000000" w:themeColor="text1"/>
          <w:spacing w:val="22"/>
          <w:kern w:val="0"/>
          <w:szCs w:val="22"/>
          <w:lang w:val="en-GB" w:eastAsia="en-GB"/>
        </w:rPr>
        <w:t xml:space="preserve"> </w:t>
      </w:r>
      <w:r w:rsidRPr="00B81CD9">
        <w:rPr>
          <w:rFonts w:eastAsia="Times New Roman" w:cs="Arial"/>
          <w:color w:val="000000" w:themeColor="text1"/>
          <w:kern w:val="0"/>
          <w:szCs w:val="22"/>
          <w:lang w:val="en-GB" w:eastAsia="en-GB"/>
        </w:rPr>
        <w:t>efficient</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effective</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system</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risk</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management</w:t>
      </w:r>
      <w:r w:rsidRPr="00B81CD9">
        <w:rPr>
          <w:rFonts w:eastAsia="Times New Roman" w:cs="Arial"/>
          <w:color w:val="000000" w:themeColor="text1"/>
          <w:spacing w:val="-5"/>
          <w:kern w:val="0"/>
          <w:szCs w:val="22"/>
          <w:lang w:val="en-GB" w:eastAsia="en-GB"/>
        </w:rPr>
        <w:t xml:space="preserve"> </w:t>
      </w:r>
      <w:r w:rsidRPr="00B81CD9">
        <w:rPr>
          <w:rFonts w:eastAsia="Times New Roman" w:cs="Arial"/>
          <w:color w:val="000000" w:themeColor="text1"/>
          <w:kern w:val="0"/>
          <w:szCs w:val="22"/>
          <w:lang w:val="en-GB" w:eastAsia="en-GB"/>
        </w:rPr>
        <w:t>and governance.</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This</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on the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basis</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that:</w:t>
      </w:r>
    </w:p>
    <w:p w14:paraId="37C49693" w14:textId="77777777" w:rsidR="00752DBB" w:rsidRPr="00B81CD9" w:rsidRDefault="00752DBB">
      <w:pPr>
        <w:numPr>
          <w:ilvl w:val="0"/>
          <w:numId w:val="11"/>
        </w:numPr>
        <w:shd w:val="clear" w:color="auto" w:fill="auto"/>
        <w:tabs>
          <w:tab w:val="left" w:pos="310"/>
        </w:tabs>
        <w:kinsoku w:val="0"/>
        <w:overflowPunct w:val="0"/>
        <w:autoSpaceDE w:val="0"/>
        <w:autoSpaceDN w:val="0"/>
        <w:adjustRightInd w:val="0"/>
        <w:spacing w:before="40" w:line="240" w:lineRule="auto"/>
        <w:ind w:left="709"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Three of the six internal audits received a Moderate assurance rating.</w:t>
      </w:r>
    </w:p>
    <w:p w14:paraId="0BD169F6" w14:textId="77777777" w:rsidR="00752DBB" w:rsidRPr="00B81CD9" w:rsidRDefault="00752DBB">
      <w:pPr>
        <w:numPr>
          <w:ilvl w:val="0"/>
          <w:numId w:val="11"/>
        </w:numPr>
        <w:shd w:val="clear" w:color="auto" w:fill="auto"/>
        <w:tabs>
          <w:tab w:val="left" w:pos="311"/>
        </w:tabs>
        <w:kinsoku w:val="0"/>
        <w:overflowPunct w:val="0"/>
        <w:autoSpaceDE w:val="0"/>
        <w:autoSpaceDN w:val="0"/>
        <w:adjustRightInd w:val="0"/>
        <w:spacing w:before="41" w:line="235" w:lineRule="auto"/>
        <w:ind w:left="709" w:right="76"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lastRenderedPageBreak/>
        <w:t>There</w:t>
      </w:r>
      <w:r w:rsidRPr="00B81CD9">
        <w:rPr>
          <w:rFonts w:eastAsia="Times New Roman" w:cs="Arial"/>
          <w:color w:val="000000" w:themeColor="text1"/>
          <w:spacing w:val="76"/>
          <w:kern w:val="0"/>
          <w:szCs w:val="22"/>
          <w:lang w:val="en-GB" w:eastAsia="en-GB"/>
        </w:rPr>
        <w:t xml:space="preserve"> </w:t>
      </w:r>
      <w:r w:rsidRPr="00B81CD9">
        <w:rPr>
          <w:rFonts w:eastAsia="Times New Roman" w:cs="Arial"/>
          <w:color w:val="000000" w:themeColor="text1"/>
          <w:kern w:val="0"/>
          <w:szCs w:val="22"/>
          <w:lang w:val="en-GB" w:eastAsia="en-GB"/>
        </w:rPr>
        <w:t>has</w:t>
      </w:r>
      <w:r w:rsidRPr="00B81CD9">
        <w:rPr>
          <w:rFonts w:eastAsia="Times New Roman" w:cs="Arial"/>
          <w:color w:val="000000" w:themeColor="text1"/>
          <w:spacing w:val="78"/>
          <w:kern w:val="0"/>
          <w:szCs w:val="22"/>
          <w:lang w:val="en-GB" w:eastAsia="en-GB"/>
        </w:rPr>
        <w:t xml:space="preserve"> </w:t>
      </w:r>
      <w:r w:rsidRPr="00B81CD9">
        <w:rPr>
          <w:rFonts w:eastAsia="Times New Roman" w:cs="Arial"/>
          <w:color w:val="000000" w:themeColor="text1"/>
          <w:kern w:val="0"/>
          <w:szCs w:val="22"/>
          <w:lang w:val="en-GB" w:eastAsia="en-GB"/>
        </w:rPr>
        <w:t>been</w:t>
      </w:r>
      <w:r w:rsidRPr="00B81CD9">
        <w:rPr>
          <w:rFonts w:eastAsia="Times New Roman" w:cs="Arial"/>
          <w:color w:val="000000" w:themeColor="text1"/>
          <w:spacing w:val="75"/>
          <w:kern w:val="0"/>
          <w:szCs w:val="22"/>
          <w:lang w:val="en-GB" w:eastAsia="en-GB"/>
        </w:rPr>
        <w:t xml:space="preserve"> </w:t>
      </w:r>
      <w:r w:rsidRPr="00B81CD9">
        <w:rPr>
          <w:rFonts w:eastAsia="Times New Roman" w:cs="Arial"/>
          <w:color w:val="000000" w:themeColor="text1"/>
          <w:kern w:val="0"/>
          <w:szCs w:val="22"/>
          <w:lang w:val="en-GB" w:eastAsia="en-GB"/>
        </w:rPr>
        <w:t>continued</w:t>
      </w:r>
      <w:r w:rsidRPr="00B81CD9">
        <w:rPr>
          <w:rFonts w:eastAsia="Times New Roman" w:cs="Arial"/>
          <w:color w:val="000000" w:themeColor="text1"/>
          <w:spacing w:val="77"/>
          <w:kern w:val="0"/>
          <w:szCs w:val="22"/>
          <w:lang w:val="en-GB" w:eastAsia="en-GB"/>
        </w:rPr>
        <w:t xml:space="preserve"> </w:t>
      </w:r>
      <w:r w:rsidRPr="00B81CD9">
        <w:rPr>
          <w:rFonts w:eastAsia="Times New Roman" w:cs="Arial"/>
          <w:color w:val="000000" w:themeColor="text1"/>
          <w:kern w:val="0"/>
          <w:szCs w:val="22"/>
          <w:lang w:val="en-GB" w:eastAsia="en-GB"/>
        </w:rPr>
        <w:t>focus</w:t>
      </w:r>
      <w:r w:rsidRPr="00B81CD9">
        <w:rPr>
          <w:rFonts w:eastAsia="Times New Roman" w:cs="Arial"/>
          <w:color w:val="000000" w:themeColor="text1"/>
          <w:spacing w:val="78"/>
          <w:kern w:val="0"/>
          <w:szCs w:val="22"/>
          <w:lang w:val="en-GB" w:eastAsia="en-GB"/>
        </w:rPr>
        <w:t xml:space="preserve"> </w:t>
      </w:r>
      <w:r w:rsidRPr="00B81CD9">
        <w:rPr>
          <w:rFonts w:eastAsia="Times New Roman" w:cs="Arial"/>
          <w:color w:val="000000" w:themeColor="text1"/>
          <w:kern w:val="0"/>
          <w:szCs w:val="22"/>
          <w:lang w:val="en-GB" w:eastAsia="en-GB"/>
        </w:rPr>
        <w:t>during</w:t>
      </w:r>
      <w:r w:rsidRPr="00B81CD9">
        <w:rPr>
          <w:rFonts w:eastAsia="Times New Roman" w:cs="Arial"/>
          <w:color w:val="000000" w:themeColor="text1"/>
          <w:spacing w:val="7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73"/>
          <w:kern w:val="0"/>
          <w:szCs w:val="22"/>
          <w:lang w:val="en-GB" w:eastAsia="en-GB"/>
        </w:rPr>
        <w:t xml:space="preserve"> </w:t>
      </w:r>
      <w:r w:rsidRPr="00B81CD9">
        <w:rPr>
          <w:rFonts w:eastAsia="Times New Roman" w:cs="Arial"/>
          <w:color w:val="000000" w:themeColor="text1"/>
          <w:kern w:val="0"/>
          <w:szCs w:val="22"/>
          <w:lang w:val="en-GB" w:eastAsia="en-GB"/>
        </w:rPr>
        <w:t>year</w:t>
      </w:r>
      <w:r w:rsidRPr="00B81CD9">
        <w:rPr>
          <w:rFonts w:eastAsia="Times New Roman" w:cs="Arial"/>
          <w:color w:val="000000" w:themeColor="text1"/>
          <w:spacing w:val="75"/>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77"/>
          <w:kern w:val="0"/>
          <w:szCs w:val="22"/>
          <w:lang w:val="en-GB" w:eastAsia="en-GB"/>
        </w:rPr>
        <w:t xml:space="preserve"> </w:t>
      </w:r>
      <w:r w:rsidRPr="00B81CD9">
        <w:rPr>
          <w:rFonts w:eastAsia="Times New Roman" w:cs="Arial"/>
          <w:color w:val="000000" w:themeColor="text1"/>
          <w:kern w:val="0"/>
          <w:szCs w:val="22"/>
          <w:lang w:val="en-GB" w:eastAsia="en-GB"/>
        </w:rPr>
        <w:t>implement</w:t>
      </w:r>
      <w:r w:rsidRPr="00B81CD9">
        <w:rPr>
          <w:rFonts w:eastAsia="Times New Roman" w:cs="Arial"/>
          <w:color w:val="000000" w:themeColor="text1"/>
          <w:spacing w:val="74"/>
          <w:kern w:val="0"/>
          <w:szCs w:val="22"/>
          <w:lang w:val="en-GB" w:eastAsia="en-GB"/>
        </w:rPr>
        <w:t xml:space="preserve"> </w:t>
      </w:r>
      <w:r w:rsidRPr="00B81CD9">
        <w:rPr>
          <w:rFonts w:eastAsia="Times New Roman" w:cs="Arial"/>
          <w:color w:val="000000" w:themeColor="text1"/>
          <w:kern w:val="0"/>
          <w:szCs w:val="22"/>
          <w:lang w:val="en-GB" w:eastAsia="en-GB"/>
        </w:rPr>
        <w:t>agreed internal</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At</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31</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July</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2025,</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16"/>
          <w:kern w:val="0"/>
          <w:szCs w:val="22"/>
          <w:lang w:val="en-GB" w:eastAsia="en-GB"/>
        </w:rPr>
        <w:t xml:space="preserve"> </w:t>
      </w:r>
      <w:r w:rsidRPr="00B81CD9">
        <w:rPr>
          <w:rFonts w:eastAsia="Times New Roman" w:cs="Arial"/>
          <w:color w:val="000000" w:themeColor="text1"/>
          <w:kern w:val="0"/>
          <w:szCs w:val="22"/>
          <w:lang w:val="en-GB" w:eastAsia="en-GB"/>
        </w:rPr>
        <w:t>29</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open</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none</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which</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overdue.</w:t>
      </w:r>
    </w:p>
    <w:p w14:paraId="6AFE019A" w14:textId="77777777" w:rsidR="00752DBB" w:rsidRPr="00B81CD9" w:rsidRDefault="00752DBB" w:rsidP="00752DBB">
      <w:pPr>
        <w:shd w:val="clear" w:color="auto" w:fill="auto"/>
        <w:kinsoku w:val="0"/>
        <w:overflowPunct w:val="0"/>
        <w:autoSpaceDE w:val="0"/>
        <w:autoSpaceDN w:val="0"/>
        <w:adjustRightInd w:val="0"/>
        <w:spacing w:before="40" w:line="235" w:lineRule="auto"/>
        <w:ind w:left="709" w:right="78"/>
        <w:rPr>
          <w:rFonts w:eastAsia="Times New Roman" w:cs="Arial"/>
          <w:color w:val="000000" w:themeColor="text1"/>
          <w:kern w:val="0"/>
          <w:szCs w:val="22"/>
          <w:lang w:val="en-GB" w:eastAsia="en-GB"/>
        </w:rPr>
      </w:pPr>
    </w:p>
    <w:p w14:paraId="7BDAACB3" w14:textId="77FAC900" w:rsidR="00752DBB" w:rsidRPr="00B81CD9" w:rsidRDefault="00752DBB" w:rsidP="00752DBB">
      <w:pPr>
        <w:shd w:val="clear" w:color="auto" w:fill="auto"/>
        <w:kinsoku w:val="0"/>
        <w:overflowPunct w:val="0"/>
        <w:autoSpaceDE w:val="0"/>
        <w:autoSpaceDN w:val="0"/>
        <w:adjustRightInd w:val="0"/>
        <w:spacing w:before="40" w:line="235" w:lineRule="auto"/>
        <w:ind w:left="709" w:right="78"/>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provide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limited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an</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efficient</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effective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system</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of internal</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control on the basis that:</w:t>
      </w:r>
    </w:p>
    <w:p w14:paraId="0F2040EC" w14:textId="77777777" w:rsidR="00752DBB" w:rsidRPr="00B81CD9" w:rsidRDefault="00752DBB">
      <w:pPr>
        <w:numPr>
          <w:ilvl w:val="0"/>
          <w:numId w:val="11"/>
        </w:numPr>
        <w:shd w:val="clear" w:color="auto" w:fill="auto"/>
        <w:tabs>
          <w:tab w:val="left" w:pos="311"/>
        </w:tabs>
        <w:kinsoku w:val="0"/>
        <w:overflowPunct w:val="0"/>
        <w:autoSpaceDE w:val="0"/>
        <w:autoSpaceDN w:val="0"/>
        <w:adjustRightInd w:val="0"/>
        <w:spacing w:before="43" w:line="235" w:lineRule="auto"/>
        <w:ind w:left="709" w:right="76"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have</w:t>
      </w:r>
      <w:r w:rsidRPr="00B81CD9">
        <w:rPr>
          <w:rFonts w:eastAsia="Times New Roman" w:cs="Arial"/>
          <w:color w:val="000000" w:themeColor="text1"/>
          <w:spacing w:val="69"/>
          <w:kern w:val="0"/>
          <w:szCs w:val="22"/>
          <w:lang w:val="en-GB" w:eastAsia="en-GB"/>
        </w:rPr>
        <w:t xml:space="preserve"> </w:t>
      </w:r>
      <w:r w:rsidRPr="00B81CD9">
        <w:rPr>
          <w:rFonts w:eastAsia="Times New Roman" w:cs="Arial"/>
          <w:color w:val="000000" w:themeColor="text1"/>
          <w:kern w:val="0"/>
          <w:szCs w:val="22"/>
          <w:lang w:val="en-GB" w:eastAsia="en-GB"/>
        </w:rPr>
        <w:t>raised</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nine</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Priority</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1</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observations,</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resulting</w:t>
      </w:r>
      <w:r w:rsidRPr="00B81CD9">
        <w:rPr>
          <w:rFonts w:eastAsia="Times New Roman" w:cs="Arial"/>
          <w:color w:val="000000" w:themeColor="text1"/>
          <w:spacing w:val="72"/>
          <w:kern w:val="0"/>
          <w:szCs w:val="22"/>
          <w:lang w:val="en-GB" w:eastAsia="en-GB"/>
        </w:rPr>
        <w:t xml:space="preserve"> </w:t>
      </w:r>
      <w:r w:rsidRPr="00B81CD9">
        <w:rPr>
          <w:rFonts w:eastAsia="Times New Roman" w:cs="Arial"/>
          <w:color w:val="000000" w:themeColor="text1"/>
          <w:kern w:val="0"/>
          <w:szCs w:val="22"/>
          <w:lang w:val="en-GB" w:eastAsia="en-GB"/>
        </w:rPr>
        <w:t>in</w:t>
      </w:r>
      <w:r w:rsidRPr="00B81CD9">
        <w:rPr>
          <w:rFonts w:eastAsia="Times New Roman" w:cs="Arial"/>
          <w:color w:val="000000" w:themeColor="text1"/>
          <w:spacing w:val="67"/>
          <w:kern w:val="0"/>
          <w:szCs w:val="22"/>
          <w:lang w:val="en-GB" w:eastAsia="en-GB"/>
        </w:rPr>
        <w:t xml:space="preserve"> </w:t>
      </w:r>
      <w:r w:rsidRPr="00B81CD9">
        <w:rPr>
          <w:rFonts w:eastAsia="Times New Roman" w:cs="Arial"/>
          <w:color w:val="000000" w:themeColor="text1"/>
          <w:kern w:val="0"/>
          <w:szCs w:val="22"/>
          <w:lang w:val="en-GB" w:eastAsia="en-GB"/>
        </w:rPr>
        <w:t>23</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an increase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from none during FY2023/24.</w:t>
      </w:r>
    </w:p>
    <w:p w14:paraId="636754CE" w14:textId="77777777" w:rsidR="00752DBB" w:rsidRPr="00B81CD9" w:rsidRDefault="00752DBB">
      <w:pPr>
        <w:numPr>
          <w:ilvl w:val="0"/>
          <w:numId w:val="11"/>
        </w:numPr>
        <w:shd w:val="clear" w:color="auto" w:fill="auto"/>
        <w:tabs>
          <w:tab w:val="left" w:pos="311"/>
        </w:tabs>
        <w:kinsoku w:val="0"/>
        <w:overflowPunct w:val="0"/>
        <w:autoSpaceDE w:val="0"/>
        <w:autoSpaceDN w:val="0"/>
        <w:adjustRightInd w:val="0"/>
        <w:spacing w:before="42" w:line="235" w:lineRule="auto"/>
        <w:ind w:left="709" w:right="74"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For</w:t>
      </w:r>
      <w:r w:rsidRPr="00B81CD9">
        <w:rPr>
          <w:rFonts w:eastAsia="Times New Roman" w:cs="Arial"/>
          <w:color w:val="000000" w:themeColor="text1"/>
          <w:spacing w:val="29"/>
          <w:kern w:val="0"/>
          <w:szCs w:val="22"/>
          <w:lang w:val="en-GB" w:eastAsia="en-GB"/>
        </w:rPr>
        <w:t xml:space="preserve"> </w:t>
      </w:r>
      <w:r w:rsidRPr="00B81CD9">
        <w:rPr>
          <w:rFonts w:eastAsia="Times New Roman" w:cs="Arial"/>
          <w:color w:val="000000" w:themeColor="text1"/>
          <w:kern w:val="0"/>
          <w:szCs w:val="22"/>
          <w:lang w:val="en-GB" w:eastAsia="en-GB"/>
        </w:rPr>
        <w:t>one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assignment,</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Payroll,</w:t>
      </w:r>
      <w:r w:rsidRPr="00B81CD9">
        <w:rPr>
          <w:rFonts w:eastAsia="Times New Roman" w:cs="Arial"/>
          <w:color w:val="000000" w:themeColor="text1"/>
          <w:spacing w:val="30"/>
          <w:kern w:val="0"/>
          <w:szCs w:val="22"/>
          <w:lang w:val="en-GB" w:eastAsia="en-GB"/>
        </w:rPr>
        <w:t xml:space="preserve"> </w:t>
      </w:r>
      <w:r w:rsidRPr="00B81CD9">
        <w:rPr>
          <w:rFonts w:eastAsia="Times New Roman" w:cs="Arial"/>
          <w:color w:val="000000" w:themeColor="text1"/>
          <w:kern w:val="0"/>
          <w:szCs w:val="22"/>
          <w:lang w:val="en-GB" w:eastAsia="en-GB"/>
        </w:rPr>
        <w:t>No</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was</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provided</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due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29"/>
          <w:kern w:val="0"/>
          <w:szCs w:val="22"/>
          <w:lang w:val="en-GB" w:eastAsia="en-GB"/>
        </w:rPr>
        <w:t xml:space="preserve"> </w:t>
      </w:r>
      <w:r w:rsidRPr="00B81CD9">
        <w:rPr>
          <w:rFonts w:eastAsia="Times New Roman" w:cs="Arial"/>
          <w:color w:val="000000" w:themeColor="text1"/>
          <w:kern w:val="0"/>
          <w:szCs w:val="22"/>
          <w:lang w:val="en-GB" w:eastAsia="en-GB"/>
        </w:rPr>
        <w:t>significant control</w:t>
      </w:r>
      <w:r w:rsidRPr="00B81CD9">
        <w:rPr>
          <w:rFonts w:eastAsia="Times New Roman" w:cs="Arial"/>
          <w:color w:val="000000" w:themeColor="text1"/>
          <w:spacing w:val="24"/>
          <w:kern w:val="0"/>
          <w:szCs w:val="22"/>
          <w:lang w:val="en-GB" w:eastAsia="en-GB"/>
        </w:rPr>
        <w:t xml:space="preserve"> </w:t>
      </w:r>
      <w:r w:rsidRPr="00B81CD9">
        <w:rPr>
          <w:rFonts w:eastAsia="Times New Roman" w:cs="Arial"/>
          <w:color w:val="000000" w:themeColor="text1"/>
          <w:kern w:val="0"/>
          <w:szCs w:val="22"/>
          <w:lang w:val="en-GB" w:eastAsia="en-GB"/>
        </w:rPr>
        <w:t>weaknesses</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being</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identified.</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It</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agreed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with</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ARC</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internal audit will</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monitor the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ongoing implementation of the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agreed actions, none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which</w:t>
      </w:r>
      <w:r w:rsidRPr="00B81CD9">
        <w:rPr>
          <w:rFonts w:eastAsia="Times New Roman" w:cs="Arial"/>
          <w:color w:val="000000" w:themeColor="text1"/>
          <w:spacing w:val="31"/>
          <w:kern w:val="0"/>
          <w:szCs w:val="22"/>
          <w:lang w:val="en-GB" w:eastAsia="en-GB"/>
        </w:rPr>
        <w:t xml:space="preserve"> </w:t>
      </w:r>
      <w:r w:rsidRPr="00B81CD9">
        <w:rPr>
          <w:rFonts w:eastAsia="Times New Roman" w:cs="Arial"/>
          <w:color w:val="000000" w:themeColor="text1"/>
          <w:kern w:val="0"/>
          <w:szCs w:val="22"/>
          <w:lang w:val="en-GB" w:eastAsia="en-GB"/>
        </w:rPr>
        <w:t>are</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overdue</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at</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1"/>
          <w:kern w:val="0"/>
          <w:szCs w:val="22"/>
          <w:lang w:val="en-GB" w:eastAsia="en-GB"/>
        </w:rPr>
        <w:t xml:space="preserve"> </w:t>
      </w:r>
      <w:r w:rsidRPr="00B81CD9">
        <w:rPr>
          <w:rFonts w:eastAsia="Times New Roman" w:cs="Arial"/>
          <w:color w:val="000000" w:themeColor="text1"/>
          <w:kern w:val="0"/>
          <w:szCs w:val="22"/>
          <w:lang w:val="en-GB" w:eastAsia="en-GB"/>
        </w:rPr>
        <w:t>time</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writing,</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a</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follow-up</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would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be conducted</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during</w:t>
      </w:r>
      <w:r w:rsidRPr="00B81CD9">
        <w:rPr>
          <w:rFonts w:eastAsia="Times New Roman" w:cs="Arial"/>
          <w:color w:val="000000" w:themeColor="text1"/>
          <w:spacing w:val="-2"/>
          <w:kern w:val="0"/>
          <w:szCs w:val="22"/>
          <w:lang w:val="en-GB" w:eastAsia="en-GB"/>
        </w:rPr>
        <w:t xml:space="preserve"> </w:t>
      </w:r>
      <w:r w:rsidRPr="00B81CD9">
        <w:rPr>
          <w:rFonts w:eastAsia="Times New Roman" w:cs="Arial"/>
          <w:color w:val="000000" w:themeColor="text1"/>
          <w:kern w:val="0"/>
          <w:szCs w:val="22"/>
          <w:lang w:val="en-GB" w:eastAsia="en-GB"/>
        </w:rPr>
        <w:t>FY2025/26</w:t>
      </w:r>
    </w:p>
    <w:p w14:paraId="0E2D5016" w14:textId="77777777" w:rsidR="00752DBB" w:rsidRPr="00B81CD9" w:rsidRDefault="00752DBB">
      <w:pPr>
        <w:numPr>
          <w:ilvl w:val="0"/>
          <w:numId w:val="11"/>
        </w:numPr>
        <w:shd w:val="clear" w:color="auto" w:fill="auto"/>
        <w:tabs>
          <w:tab w:val="left" w:pos="311"/>
        </w:tabs>
        <w:kinsoku w:val="0"/>
        <w:overflowPunct w:val="0"/>
        <w:autoSpaceDE w:val="0"/>
        <w:autoSpaceDN w:val="0"/>
        <w:adjustRightInd w:val="0"/>
        <w:spacing w:before="43" w:line="235" w:lineRule="auto"/>
        <w:ind w:left="709" w:right="74"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Two</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six</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internal</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audits</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received</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Limited</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rating.</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Agreed actions</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for</w:t>
      </w:r>
      <w:r w:rsidRPr="00B81CD9">
        <w:rPr>
          <w:rFonts w:eastAsia="Times New Roman" w:cs="Arial"/>
          <w:color w:val="000000" w:themeColor="text1"/>
          <w:spacing w:val="58"/>
          <w:kern w:val="0"/>
          <w:szCs w:val="22"/>
          <w:lang w:val="en-GB" w:eastAsia="en-GB"/>
        </w:rPr>
        <w:t xml:space="preserve"> </w:t>
      </w:r>
      <w:r w:rsidRPr="00B81CD9">
        <w:rPr>
          <w:rFonts w:eastAsia="Times New Roman" w:cs="Arial"/>
          <w:color w:val="000000" w:themeColor="text1"/>
          <w:kern w:val="0"/>
          <w:szCs w:val="22"/>
          <w:lang w:val="en-GB" w:eastAsia="en-GB"/>
        </w:rPr>
        <w:t>these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being</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implemented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on</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time</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will</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need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be</w:t>
      </w:r>
    </w:p>
    <w:p w14:paraId="7B660905" w14:textId="77777777" w:rsidR="00752DBB" w:rsidRPr="00B81CD9" w:rsidRDefault="00752DBB" w:rsidP="00752DBB">
      <w:pPr>
        <w:shd w:val="clear" w:color="auto" w:fill="auto"/>
        <w:kinsoku w:val="0"/>
        <w:overflowPunct w:val="0"/>
        <w:autoSpaceDE w:val="0"/>
        <w:autoSpaceDN w:val="0"/>
        <w:adjustRightInd w:val="0"/>
        <w:spacing w:line="265" w:lineRule="exact"/>
        <w:ind w:left="709"/>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monitored for continued operating effectiveness.</w:t>
      </w:r>
    </w:p>
    <w:p w14:paraId="39FFB3C3" w14:textId="14750B64" w:rsidR="00752DBB" w:rsidRPr="00B81CD9" w:rsidRDefault="00752DBB" w:rsidP="00544588">
      <w:pPr>
        <w:widowControl w:val="0"/>
        <w:spacing w:after="200"/>
        <w:ind w:left="720" w:hanging="720"/>
        <w:rPr>
          <w:rFonts w:asciiTheme="minorBidi" w:hAnsiTheme="minorBidi" w:cstheme="minorBidi"/>
          <w:color w:val="000000" w:themeColor="text1"/>
          <w:szCs w:val="22"/>
        </w:rPr>
      </w:pPr>
    </w:p>
    <w:p w14:paraId="03AAD70E" w14:textId="53D41CA4" w:rsidR="007D5D3E" w:rsidRPr="00B81CD9" w:rsidRDefault="3C8070CE" w:rsidP="00C90022">
      <w:pPr>
        <w:widowControl w:val="0"/>
        <w:spacing w:after="200"/>
        <w:ind w:left="720" w:hanging="720"/>
        <w:rPr>
          <w:rFonts w:eastAsia="Arial" w:cs="Arial"/>
          <w:color w:val="000000" w:themeColor="text1"/>
          <w:szCs w:val="22"/>
        </w:rPr>
      </w:pPr>
      <w:r w:rsidRPr="00B81CD9">
        <w:rPr>
          <w:rFonts w:asciiTheme="minorBidi" w:hAnsiTheme="minorBidi" w:cstheme="minorBidi"/>
          <w:color w:val="000000" w:themeColor="text1"/>
        </w:rPr>
        <w:t>3.8</w:t>
      </w:r>
      <w:r w:rsidR="007D5D3E" w:rsidRPr="00B81CD9">
        <w:rPr>
          <w:color w:val="000000" w:themeColor="text1"/>
        </w:rPr>
        <w:tab/>
      </w:r>
      <w:r w:rsidR="00384FB7" w:rsidRPr="00B81CD9">
        <w:rPr>
          <w:rFonts w:asciiTheme="minorBidi" w:hAnsiTheme="minorBidi" w:cstheme="minorBidi"/>
          <w:color w:val="000000" w:themeColor="text1"/>
        </w:rPr>
        <w:t>It was noted that the following themes had been identified from the internal audit work: i) Documentation of roles and responsibilities, ii) System user access and iii) digital program opportunities. The need to document roles and responsibilities and make sure these were understood had also been raised in the FY 2023/24 Internal Audit Annual Report. In addition, in FY 2023/24 the internal audit team had raised the need for adequate resource planning. The latter had not been raised during FY 2024/25 but discussions at ARC had continued to focus on the challenges from smaller teams and limited resources, ability to maintain segregation of duties, and resulting importance of documenting guidance, training and that roles and responsibilities are fully understood.</w:t>
      </w:r>
    </w:p>
    <w:p w14:paraId="54BEAFBB" w14:textId="5DEEA085" w:rsidR="00E976BA" w:rsidRPr="00B81CD9" w:rsidRDefault="00384FB7" w:rsidP="00E976BA">
      <w:pPr>
        <w:snapToGrid w:val="0"/>
        <w:spacing w:before="240" w:line="312" w:lineRule="auto"/>
        <w:jc w:val="left"/>
        <w:rPr>
          <w:rFonts w:asciiTheme="minorBidi" w:eastAsia="Times New Roman" w:hAnsiTheme="minorBidi" w:cstheme="minorBidi"/>
          <w:color w:val="000000" w:themeColor="text1"/>
          <w:kern w:val="0"/>
          <w:szCs w:val="22"/>
          <w:lang w:val="en-GB" w:eastAsia="en-GB"/>
        </w:rPr>
      </w:pPr>
      <w:r w:rsidRPr="00B81CD9">
        <w:rPr>
          <w:rFonts w:cs="Arial"/>
          <w:i/>
          <w:iCs/>
          <w:color w:val="000000" w:themeColor="text1"/>
          <w:szCs w:val="22"/>
        </w:rPr>
        <w:t>2025/</w:t>
      </w:r>
      <w:r w:rsidR="00DE0457" w:rsidRPr="00B81CD9">
        <w:rPr>
          <w:rFonts w:cs="Arial"/>
          <w:i/>
          <w:iCs/>
          <w:color w:val="000000" w:themeColor="text1"/>
          <w:szCs w:val="22"/>
        </w:rPr>
        <w:t>26</w:t>
      </w:r>
      <w:r w:rsidR="00D466AA" w:rsidRPr="00B81CD9">
        <w:rPr>
          <w:rFonts w:cs="Arial"/>
          <w:i/>
          <w:iCs/>
          <w:color w:val="000000" w:themeColor="text1"/>
          <w:szCs w:val="22"/>
        </w:rPr>
        <w:t xml:space="preserve"> </w:t>
      </w:r>
      <w:r w:rsidR="00E976BA" w:rsidRPr="00B81CD9">
        <w:rPr>
          <w:rFonts w:asciiTheme="minorBidi" w:eastAsia="Times New Roman" w:hAnsiTheme="minorBidi" w:cstheme="minorBidi"/>
          <w:color w:val="000000" w:themeColor="text1"/>
          <w:kern w:val="0"/>
          <w:szCs w:val="22"/>
          <w:lang w:val="en-GB" w:eastAsia="en-GB"/>
        </w:rPr>
        <w:t>Internal Audit Plan of work</w:t>
      </w:r>
    </w:p>
    <w:p w14:paraId="175D1873" w14:textId="00995A13" w:rsidR="00B23FCD" w:rsidRPr="00B81CD9" w:rsidRDefault="00E976BA">
      <w:pPr>
        <w:pStyle w:val="ListParagraph"/>
        <w:numPr>
          <w:ilvl w:val="1"/>
          <w:numId w:val="9"/>
        </w:numPr>
        <w:snapToGrid w:val="0"/>
        <w:spacing w:before="240" w:line="312" w:lineRule="auto"/>
        <w:ind w:left="709" w:hanging="709"/>
        <w:jc w:val="left"/>
        <w:rPr>
          <w:rFonts w:cs="Arial"/>
          <w:color w:val="000000" w:themeColor="text1"/>
        </w:rPr>
      </w:pPr>
      <w:r w:rsidRPr="00B81CD9">
        <w:rPr>
          <w:rFonts w:cs="Arial"/>
          <w:color w:val="000000" w:themeColor="text1"/>
        </w:rPr>
        <w:t xml:space="preserve">At its </w:t>
      </w:r>
      <w:r w:rsidR="00DE0457" w:rsidRPr="00B81CD9">
        <w:rPr>
          <w:rFonts w:cs="Arial"/>
          <w:color w:val="000000" w:themeColor="text1"/>
        </w:rPr>
        <w:t>2</w:t>
      </w:r>
      <w:r w:rsidR="001303D0" w:rsidRPr="00B81CD9">
        <w:rPr>
          <w:rFonts w:cs="Arial"/>
          <w:color w:val="000000" w:themeColor="text1"/>
        </w:rPr>
        <w:t>5</w:t>
      </w:r>
      <w:r w:rsidR="001303D0" w:rsidRPr="00B81CD9">
        <w:rPr>
          <w:rFonts w:cs="Arial"/>
          <w:color w:val="000000" w:themeColor="text1"/>
          <w:vertAlign w:val="superscript"/>
        </w:rPr>
        <w:t>th</w:t>
      </w:r>
      <w:r w:rsidR="001303D0" w:rsidRPr="00B81CD9">
        <w:rPr>
          <w:rFonts w:cs="Arial"/>
          <w:color w:val="000000" w:themeColor="text1"/>
        </w:rPr>
        <w:t xml:space="preserve"> </w:t>
      </w:r>
      <w:r w:rsidR="00DE0457" w:rsidRPr="00B81CD9">
        <w:rPr>
          <w:rFonts w:cs="Arial"/>
          <w:color w:val="000000" w:themeColor="text1"/>
        </w:rPr>
        <w:t>September</w:t>
      </w:r>
      <w:r w:rsidR="001303D0" w:rsidRPr="00B81CD9">
        <w:rPr>
          <w:rFonts w:cs="Arial"/>
          <w:color w:val="000000" w:themeColor="text1"/>
        </w:rPr>
        <w:t xml:space="preserve"> </w:t>
      </w:r>
      <w:r w:rsidR="00DE0457" w:rsidRPr="00B81CD9">
        <w:rPr>
          <w:rFonts w:cs="Arial"/>
          <w:color w:val="000000" w:themeColor="text1"/>
        </w:rPr>
        <w:t>2025</w:t>
      </w:r>
      <w:r w:rsidR="002B43C2" w:rsidRPr="00B81CD9">
        <w:rPr>
          <w:rFonts w:cs="Arial"/>
          <w:color w:val="000000" w:themeColor="text1"/>
        </w:rPr>
        <w:t xml:space="preserve"> meeting the Committee considered a report that presented the draft internal audit plan for </w:t>
      </w:r>
      <w:r w:rsidR="00DE0457" w:rsidRPr="00B81CD9">
        <w:rPr>
          <w:rFonts w:cs="Arial"/>
          <w:color w:val="000000" w:themeColor="text1"/>
        </w:rPr>
        <w:t>2025/26</w:t>
      </w:r>
      <w:r w:rsidR="002B43C2" w:rsidRPr="00B81CD9">
        <w:rPr>
          <w:rFonts w:cs="Arial"/>
          <w:color w:val="000000" w:themeColor="text1"/>
        </w:rPr>
        <w:t xml:space="preserve">. </w:t>
      </w:r>
      <w:r w:rsidR="00DE0457" w:rsidRPr="00B81CD9">
        <w:rPr>
          <w:rFonts w:cs="Arial"/>
          <w:color w:val="000000" w:themeColor="text1"/>
        </w:rPr>
        <w:t>As part of the Internal audit planning, the Internal Auditors (</w:t>
      </w:r>
      <w:proofErr w:type="spellStart"/>
      <w:r w:rsidR="00DE0457" w:rsidRPr="00B81CD9">
        <w:rPr>
          <w:rFonts w:cs="Arial"/>
          <w:color w:val="000000" w:themeColor="text1"/>
        </w:rPr>
        <w:t>Uniac</w:t>
      </w:r>
      <w:proofErr w:type="spellEnd"/>
      <w:r w:rsidR="00DE0457" w:rsidRPr="00B81CD9">
        <w:rPr>
          <w:rFonts w:cs="Arial"/>
          <w:color w:val="000000" w:themeColor="text1"/>
        </w:rPr>
        <w:t xml:space="preserve">) had met with senior staff and the Chair of the Audit and Risk Committee to discuss potential audits for inclusion in the 2025/26 </w:t>
      </w:r>
      <w:proofErr w:type="spellStart"/>
      <w:r w:rsidR="00DE0457" w:rsidRPr="00B81CD9">
        <w:rPr>
          <w:rFonts w:cs="Arial"/>
          <w:color w:val="000000" w:themeColor="text1"/>
        </w:rPr>
        <w:t>programme</w:t>
      </w:r>
      <w:proofErr w:type="spellEnd"/>
      <w:r w:rsidR="00DE0457" w:rsidRPr="00B81CD9">
        <w:rPr>
          <w:rFonts w:cs="Arial"/>
          <w:color w:val="000000" w:themeColor="text1"/>
        </w:rPr>
        <w:t xml:space="preserve">. The risk register, sector themes and past audit coverage informed the identification process. </w:t>
      </w:r>
      <w:r w:rsidR="001E6CA2" w:rsidRPr="00B81CD9">
        <w:rPr>
          <w:rFonts w:cs="Arial"/>
          <w:color w:val="000000" w:themeColor="text1"/>
        </w:rPr>
        <w:t xml:space="preserve">The </w:t>
      </w:r>
      <w:proofErr w:type="spellStart"/>
      <w:r w:rsidR="001E6CA2" w:rsidRPr="00B81CD9">
        <w:rPr>
          <w:rFonts w:cs="Arial"/>
          <w:color w:val="000000" w:themeColor="text1"/>
        </w:rPr>
        <w:t>programme</w:t>
      </w:r>
      <w:proofErr w:type="spellEnd"/>
      <w:r w:rsidR="001E6CA2" w:rsidRPr="00B81CD9">
        <w:rPr>
          <w:rFonts w:cs="Arial"/>
          <w:color w:val="000000" w:themeColor="text1"/>
        </w:rPr>
        <w:t xml:space="preserve"> had also been subject to review by the Senior Leadership Team</w:t>
      </w:r>
      <w:r w:rsidR="00DE0457" w:rsidRPr="00B81CD9">
        <w:rPr>
          <w:rFonts w:cs="Arial"/>
          <w:color w:val="000000" w:themeColor="text1"/>
        </w:rPr>
        <w:t xml:space="preserve"> at the Vice Chancellor’s Advisory Group</w:t>
      </w:r>
      <w:r w:rsidR="001E6CA2" w:rsidRPr="00B81CD9">
        <w:rPr>
          <w:rFonts w:cs="Arial"/>
          <w:color w:val="000000" w:themeColor="text1"/>
        </w:rPr>
        <w:t xml:space="preserve">. </w:t>
      </w:r>
      <w:r w:rsidRPr="00B81CD9">
        <w:rPr>
          <w:rFonts w:cs="Arial"/>
          <w:color w:val="000000" w:themeColor="text1"/>
        </w:rPr>
        <w:t xml:space="preserve">The Plan was </w:t>
      </w:r>
      <w:proofErr w:type="spellStart"/>
      <w:r w:rsidRPr="00B81CD9">
        <w:rPr>
          <w:rFonts w:cs="Arial"/>
          <w:color w:val="000000" w:themeColor="text1"/>
        </w:rPr>
        <w:t>finalised</w:t>
      </w:r>
      <w:proofErr w:type="spellEnd"/>
      <w:r w:rsidRPr="00B81CD9">
        <w:rPr>
          <w:rFonts w:cs="Arial"/>
          <w:color w:val="000000" w:themeColor="text1"/>
        </w:rPr>
        <w:t xml:space="preserve"> as follows: </w:t>
      </w:r>
      <w:r w:rsidR="00DE0457" w:rsidRPr="00B81CD9">
        <w:rPr>
          <w:rFonts w:cs="Arial"/>
          <w:color w:val="000000" w:themeColor="text1"/>
        </w:rPr>
        <w:t xml:space="preserve">Student Engagement and Retention, Risk Management, OfS Conditions of Registration Compliance, Financial Sustainability, Cyber Security Maturity Health-check, Student HESA 2024/25 (or other data return), Payroll follow-up. 115 </w:t>
      </w:r>
      <w:r w:rsidR="001303D0" w:rsidRPr="00B81CD9">
        <w:rPr>
          <w:rFonts w:cs="Arial"/>
          <w:color w:val="000000" w:themeColor="text1"/>
        </w:rPr>
        <w:t xml:space="preserve">audit days had been allocated to the delivery of the internal audit plan, with a further </w:t>
      </w:r>
      <w:r w:rsidR="00DE0457" w:rsidRPr="00B81CD9">
        <w:rPr>
          <w:rFonts w:cs="Arial"/>
          <w:color w:val="000000" w:themeColor="text1"/>
        </w:rPr>
        <w:t>20</w:t>
      </w:r>
      <w:r w:rsidR="001303D0" w:rsidRPr="00B81CD9">
        <w:rPr>
          <w:rFonts w:cs="Arial"/>
          <w:color w:val="000000" w:themeColor="text1"/>
        </w:rPr>
        <w:t xml:space="preserve"> days allocated for </w:t>
      </w:r>
      <w:r w:rsidR="00DE0457" w:rsidRPr="00B81CD9">
        <w:rPr>
          <w:rFonts w:cs="Arial"/>
          <w:color w:val="000000" w:themeColor="text1"/>
        </w:rPr>
        <w:t xml:space="preserve">Audit </w:t>
      </w:r>
      <w:proofErr w:type="spellStart"/>
      <w:r w:rsidR="00DE0457" w:rsidRPr="00B81CD9">
        <w:rPr>
          <w:rFonts w:cs="Arial"/>
          <w:color w:val="000000" w:themeColor="text1"/>
        </w:rPr>
        <w:t>Programme</w:t>
      </w:r>
      <w:proofErr w:type="spellEnd"/>
      <w:r w:rsidR="00DE0457" w:rsidRPr="00B81CD9">
        <w:rPr>
          <w:rFonts w:cs="Arial"/>
          <w:color w:val="000000" w:themeColor="text1"/>
        </w:rPr>
        <w:t xml:space="preserve"> </w:t>
      </w:r>
      <w:proofErr w:type="spellStart"/>
      <w:r w:rsidR="00DE0457" w:rsidRPr="00B81CD9">
        <w:rPr>
          <w:rFonts w:cs="Arial"/>
          <w:color w:val="000000" w:themeColor="text1"/>
        </w:rPr>
        <w:t>Mangement</w:t>
      </w:r>
      <w:proofErr w:type="spellEnd"/>
      <w:r w:rsidR="00DE0457" w:rsidRPr="00B81CD9">
        <w:rPr>
          <w:rFonts w:cs="Arial"/>
          <w:color w:val="000000" w:themeColor="text1"/>
        </w:rPr>
        <w:t>.</w:t>
      </w:r>
    </w:p>
    <w:p w14:paraId="73E10027" w14:textId="77777777" w:rsidR="00E367FE" w:rsidRPr="00B81CD9" w:rsidRDefault="004B57BB" w:rsidP="00E367FE">
      <w:pPr>
        <w:snapToGrid w:val="0"/>
        <w:spacing w:before="240" w:line="312" w:lineRule="auto"/>
        <w:jc w:val="left"/>
        <w:rPr>
          <w:rFonts w:cs="Arial"/>
          <w:i/>
          <w:iCs/>
          <w:color w:val="000000" w:themeColor="text1"/>
          <w:szCs w:val="22"/>
        </w:rPr>
      </w:pPr>
      <w:r w:rsidRPr="00B81CD9">
        <w:rPr>
          <w:rFonts w:cs="Arial"/>
          <w:i/>
          <w:iCs/>
          <w:color w:val="000000" w:themeColor="text1"/>
          <w:szCs w:val="22"/>
        </w:rPr>
        <w:t>Evaluation of Internal Audit service</w:t>
      </w:r>
    </w:p>
    <w:p w14:paraId="179C6EBE" w14:textId="6E81B55E" w:rsidR="00577229" w:rsidRPr="00B81CD9" w:rsidRDefault="00AE59D4" w:rsidP="00B24EFB">
      <w:pPr>
        <w:snapToGrid w:val="0"/>
        <w:spacing w:before="240" w:line="312" w:lineRule="auto"/>
        <w:ind w:left="709" w:hanging="709"/>
        <w:jc w:val="left"/>
        <w:rPr>
          <w:rFonts w:cs="Arial"/>
          <w:color w:val="000000" w:themeColor="text1"/>
        </w:rPr>
      </w:pPr>
      <w:r w:rsidRPr="00B81CD9">
        <w:rPr>
          <w:rFonts w:cs="Arial"/>
          <w:color w:val="000000" w:themeColor="text1"/>
        </w:rPr>
        <w:t>3.</w:t>
      </w:r>
      <w:r w:rsidR="0015789F" w:rsidRPr="00B81CD9">
        <w:rPr>
          <w:rFonts w:cs="Arial"/>
          <w:color w:val="000000" w:themeColor="text1"/>
        </w:rPr>
        <w:t>10</w:t>
      </w:r>
      <w:r w:rsidR="005543B0" w:rsidRPr="00B81CD9">
        <w:rPr>
          <w:rFonts w:cs="Arial"/>
          <w:color w:val="000000" w:themeColor="text1"/>
        </w:rPr>
        <w:tab/>
      </w:r>
      <w:r w:rsidR="00577229" w:rsidRPr="00B81CD9">
        <w:rPr>
          <w:rFonts w:cs="Arial"/>
          <w:color w:val="000000" w:themeColor="text1"/>
        </w:rPr>
        <w:t xml:space="preserve">The Committee confirmed its comfort with the performance and effectiveness </w:t>
      </w:r>
      <w:r w:rsidR="001303D0" w:rsidRPr="00B81CD9">
        <w:rPr>
          <w:rFonts w:cs="Arial"/>
          <w:color w:val="000000" w:themeColor="text1"/>
        </w:rPr>
        <w:t>at its 2</w:t>
      </w:r>
      <w:r w:rsidR="00196FE3" w:rsidRPr="00B81CD9">
        <w:rPr>
          <w:rFonts w:cs="Arial"/>
          <w:color w:val="000000" w:themeColor="text1"/>
        </w:rPr>
        <w:t>6</w:t>
      </w:r>
      <w:r w:rsidR="001303D0" w:rsidRPr="00B81CD9">
        <w:rPr>
          <w:rFonts w:cs="Arial"/>
          <w:color w:val="000000" w:themeColor="text1"/>
        </w:rPr>
        <w:t xml:space="preserve">th February </w:t>
      </w:r>
      <w:r w:rsidR="00196FE3" w:rsidRPr="00B81CD9">
        <w:rPr>
          <w:rFonts w:cs="Arial"/>
          <w:color w:val="000000" w:themeColor="text1"/>
        </w:rPr>
        <w:t>2025</w:t>
      </w:r>
      <w:r w:rsidR="001303D0" w:rsidRPr="00B81CD9">
        <w:rPr>
          <w:rFonts w:cs="Arial"/>
          <w:color w:val="000000" w:themeColor="text1"/>
        </w:rPr>
        <w:t xml:space="preserve"> meeting</w:t>
      </w:r>
      <w:r w:rsidR="00577229" w:rsidRPr="00B81CD9">
        <w:rPr>
          <w:rFonts w:cs="Arial"/>
          <w:color w:val="000000" w:themeColor="text1"/>
        </w:rPr>
        <w:t xml:space="preserve"> in support of its compliance with the recommendations of the CUC Audit Code of Practice.</w:t>
      </w:r>
    </w:p>
    <w:p w14:paraId="036DDC88" w14:textId="0A8DA247" w:rsidR="009D67D1" w:rsidRPr="00B81CD9" w:rsidRDefault="254A9DA0">
      <w:pPr>
        <w:pStyle w:val="ListParagraph"/>
        <w:numPr>
          <w:ilvl w:val="0"/>
          <w:numId w:val="9"/>
        </w:numPr>
        <w:snapToGrid w:val="0"/>
        <w:spacing w:before="240" w:line="312" w:lineRule="auto"/>
        <w:jc w:val="left"/>
        <w:rPr>
          <w:rFonts w:cs="Arial"/>
          <w:b/>
          <w:bCs/>
          <w:color w:val="000000" w:themeColor="text1"/>
        </w:rPr>
      </w:pPr>
      <w:r w:rsidRPr="00B81CD9">
        <w:rPr>
          <w:rFonts w:cs="Arial"/>
          <w:b/>
          <w:bCs/>
          <w:color w:val="000000" w:themeColor="text1"/>
        </w:rPr>
        <w:t>External Audit</w:t>
      </w:r>
    </w:p>
    <w:p w14:paraId="28B20E85" w14:textId="77777777" w:rsidR="004E2836" w:rsidRPr="00B81CD9" w:rsidRDefault="004E2836" w:rsidP="004E2836">
      <w:pPr>
        <w:snapToGrid w:val="0"/>
        <w:spacing w:before="240" w:line="312" w:lineRule="auto"/>
        <w:jc w:val="left"/>
        <w:rPr>
          <w:rFonts w:cs="Arial"/>
          <w:i/>
          <w:iCs/>
          <w:color w:val="000000" w:themeColor="text1"/>
          <w:szCs w:val="22"/>
        </w:rPr>
      </w:pPr>
      <w:r w:rsidRPr="00B81CD9">
        <w:rPr>
          <w:rFonts w:cs="Arial"/>
          <w:i/>
          <w:iCs/>
          <w:color w:val="000000" w:themeColor="text1"/>
          <w:szCs w:val="22"/>
        </w:rPr>
        <w:t>External Audit Provider</w:t>
      </w:r>
    </w:p>
    <w:p w14:paraId="48E17DA8" w14:textId="075157EC" w:rsidR="00A640C4" w:rsidRPr="00B81CD9" w:rsidRDefault="003501D8">
      <w:pPr>
        <w:pStyle w:val="ListParagraph"/>
        <w:numPr>
          <w:ilvl w:val="1"/>
          <w:numId w:val="10"/>
        </w:numPr>
        <w:snapToGrid w:val="0"/>
        <w:spacing w:before="240" w:line="312" w:lineRule="auto"/>
        <w:jc w:val="left"/>
        <w:rPr>
          <w:rFonts w:cs="Arial"/>
          <w:color w:val="000000" w:themeColor="text1"/>
        </w:rPr>
      </w:pPr>
      <w:r w:rsidRPr="00B81CD9">
        <w:rPr>
          <w:color w:val="000000" w:themeColor="text1"/>
        </w:rPr>
        <w:lastRenderedPageBreak/>
        <w:t xml:space="preserve">The Committee is reliant upon the work of the External Auditors in meeting its responsibility for reviewing and recommending to the Governing Body the annual consolidated financial statements of the University. </w:t>
      </w:r>
      <w:r w:rsidR="254A9DA0" w:rsidRPr="00B81CD9">
        <w:rPr>
          <w:rFonts w:cs="Arial"/>
          <w:color w:val="000000" w:themeColor="text1"/>
        </w:rPr>
        <w:t xml:space="preserve">KPMG LLP was </w:t>
      </w:r>
      <w:r w:rsidR="006240F4" w:rsidRPr="00B81CD9">
        <w:rPr>
          <w:rFonts w:cs="Arial"/>
          <w:color w:val="000000" w:themeColor="text1"/>
        </w:rPr>
        <w:t xml:space="preserve">first </w:t>
      </w:r>
      <w:r w:rsidR="254A9DA0" w:rsidRPr="00B81CD9">
        <w:rPr>
          <w:rFonts w:cs="Arial"/>
          <w:color w:val="000000" w:themeColor="text1"/>
        </w:rPr>
        <w:t>appointed as the external auditor in May 2011</w:t>
      </w:r>
      <w:r w:rsidR="00413D24" w:rsidRPr="00B81CD9">
        <w:rPr>
          <w:rFonts w:cs="Arial"/>
          <w:color w:val="000000" w:themeColor="text1"/>
        </w:rPr>
        <w:t>.</w:t>
      </w:r>
      <w:r w:rsidR="00510CD5" w:rsidRPr="00B81CD9">
        <w:rPr>
          <w:rFonts w:cs="Arial"/>
          <w:color w:val="000000" w:themeColor="text1"/>
        </w:rPr>
        <w:t xml:space="preserve"> Following a re-tendering exercise in 2019, KP</w:t>
      </w:r>
      <w:r w:rsidR="00D43C59" w:rsidRPr="00B81CD9">
        <w:rPr>
          <w:rFonts w:cs="Arial"/>
          <w:color w:val="000000" w:themeColor="text1"/>
        </w:rPr>
        <w:t>M</w:t>
      </w:r>
      <w:r w:rsidR="00510CD5" w:rsidRPr="00B81CD9">
        <w:rPr>
          <w:rFonts w:cs="Arial"/>
          <w:color w:val="000000" w:themeColor="text1"/>
        </w:rPr>
        <w:t>G were reappointed as the University’s External Au</w:t>
      </w:r>
      <w:r w:rsidR="00413D24" w:rsidRPr="00B81CD9">
        <w:rPr>
          <w:rFonts w:cs="Arial"/>
          <w:color w:val="000000" w:themeColor="text1"/>
        </w:rPr>
        <w:t xml:space="preserve">ditors commencing 1 August 2019. The External Auditor is re-appointed formally </w:t>
      </w:r>
      <w:r w:rsidR="00086035" w:rsidRPr="00B81CD9">
        <w:rPr>
          <w:rFonts w:cs="Arial"/>
          <w:color w:val="000000" w:themeColor="text1"/>
        </w:rPr>
        <w:t>on an annual basis</w:t>
      </w:r>
      <w:r w:rsidR="00AA5CEF" w:rsidRPr="00B81CD9">
        <w:rPr>
          <w:rFonts w:cs="Arial"/>
          <w:color w:val="000000" w:themeColor="text1"/>
        </w:rPr>
        <w:t>,</w:t>
      </w:r>
      <w:r w:rsidR="00413D24" w:rsidRPr="00B81CD9">
        <w:rPr>
          <w:rFonts w:cs="Arial"/>
          <w:color w:val="000000" w:themeColor="text1"/>
        </w:rPr>
        <w:t xml:space="preserve"> </w:t>
      </w:r>
      <w:r w:rsidR="00270181" w:rsidRPr="00B81CD9">
        <w:rPr>
          <w:rFonts w:cs="Arial"/>
          <w:color w:val="000000" w:themeColor="text1"/>
        </w:rPr>
        <w:t>this was due to take place at the</w:t>
      </w:r>
      <w:r w:rsidR="00413D24" w:rsidRPr="00B81CD9">
        <w:rPr>
          <w:rFonts w:cs="Arial"/>
          <w:color w:val="000000" w:themeColor="text1"/>
        </w:rPr>
        <w:t xml:space="preserve"> </w:t>
      </w:r>
      <w:r w:rsidR="00196FE3" w:rsidRPr="00B81CD9">
        <w:rPr>
          <w:rFonts w:cs="Arial"/>
          <w:color w:val="000000" w:themeColor="text1"/>
        </w:rPr>
        <w:t>November</w:t>
      </w:r>
      <w:r w:rsidR="00413D24" w:rsidRPr="00B81CD9">
        <w:rPr>
          <w:rFonts w:cs="Arial"/>
          <w:color w:val="000000" w:themeColor="text1"/>
        </w:rPr>
        <w:t xml:space="preserve"> </w:t>
      </w:r>
      <w:r w:rsidR="00196FE3" w:rsidRPr="00B81CD9">
        <w:rPr>
          <w:rFonts w:cs="Arial"/>
          <w:color w:val="000000" w:themeColor="text1"/>
        </w:rPr>
        <w:t>2025</w:t>
      </w:r>
      <w:r w:rsidR="00270181" w:rsidRPr="00B81CD9">
        <w:rPr>
          <w:rFonts w:cs="Arial"/>
          <w:color w:val="000000" w:themeColor="text1"/>
        </w:rPr>
        <w:t xml:space="preserve"> Board of Governors</w:t>
      </w:r>
      <w:r w:rsidR="00413D24" w:rsidRPr="00B81CD9">
        <w:rPr>
          <w:rFonts w:cs="Arial"/>
          <w:color w:val="000000" w:themeColor="text1"/>
        </w:rPr>
        <w:t>.</w:t>
      </w:r>
      <w:r w:rsidR="00E976BA" w:rsidRPr="00B81CD9">
        <w:rPr>
          <w:color w:val="000000" w:themeColor="text1"/>
        </w:rPr>
        <w:t xml:space="preserve"> A one year extension to the contract was reviewed and approved by the Audit and Risk Committee and Board of Governors in </w:t>
      </w:r>
      <w:r w:rsidR="00577229" w:rsidRPr="00B81CD9">
        <w:rPr>
          <w:color w:val="000000" w:themeColor="text1"/>
        </w:rPr>
        <w:t>March 2023.</w:t>
      </w:r>
      <w:r w:rsidR="00086035" w:rsidRPr="00B81CD9">
        <w:rPr>
          <w:color w:val="000000" w:themeColor="text1"/>
        </w:rPr>
        <w:t xml:space="preserve"> Following a procurement exercise, at their September 2024 meeting, the Audit and Risk Committee considered a report that presented a proposal to approve the award of the External Audit Contract to KPMG, for an initial period of three years. The award of the contract was approved by the Board of Governors at their meeting on 3</w:t>
      </w:r>
      <w:r w:rsidR="00086035" w:rsidRPr="00B81CD9">
        <w:rPr>
          <w:color w:val="000000" w:themeColor="text1"/>
          <w:vertAlign w:val="superscript"/>
        </w:rPr>
        <w:t>rd</w:t>
      </w:r>
      <w:r w:rsidR="00086035" w:rsidRPr="00B81CD9">
        <w:rPr>
          <w:color w:val="000000" w:themeColor="text1"/>
        </w:rPr>
        <w:t xml:space="preserve"> October 2024.</w:t>
      </w:r>
    </w:p>
    <w:p w14:paraId="2CEB606C" w14:textId="39392141" w:rsidR="00326187" w:rsidRPr="00B81CD9" w:rsidRDefault="00196FE3" w:rsidP="00A640C4">
      <w:pPr>
        <w:snapToGrid w:val="0"/>
        <w:spacing w:before="240" w:line="312" w:lineRule="auto"/>
        <w:jc w:val="left"/>
        <w:rPr>
          <w:rFonts w:cs="Arial"/>
          <w:i/>
          <w:iCs/>
          <w:color w:val="000000" w:themeColor="text1"/>
          <w:szCs w:val="22"/>
        </w:rPr>
      </w:pPr>
      <w:r w:rsidRPr="00B81CD9">
        <w:rPr>
          <w:rFonts w:cs="Arial"/>
          <w:i/>
          <w:iCs/>
          <w:color w:val="000000" w:themeColor="text1"/>
          <w:szCs w:val="22"/>
        </w:rPr>
        <w:t>2024/25</w:t>
      </w:r>
      <w:r w:rsidR="00326187" w:rsidRPr="00B81CD9">
        <w:rPr>
          <w:rFonts w:cs="Arial"/>
          <w:i/>
          <w:iCs/>
          <w:color w:val="000000" w:themeColor="text1"/>
          <w:szCs w:val="22"/>
        </w:rPr>
        <w:t xml:space="preserve"> Work by KPMG</w:t>
      </w:r>
    </w:p>
    <w:p w14:paraId="61757AC0" w14:textId="2E426FFD" w:rsidR="001B7FA0" w:rsidRPr="00B81CD9" w:rsidRDefault="254A9DA0">
      <w:pPr>
        <w:pStyle w:val="ListParagraph"/>
        <w:numPr>
          <w:ilvl w:val="1"/>
          <w:numId w:val="5"/>
        </w:numPr>
        <w:snapToGrid w:val="0"/>
        <w:spacing w:before="240" w:line="312" w:lineRule="auto"/>
        <w:ind w:left="709" w:hanging="709"/>
        <w:contextualSpacing w:val="0"/>
        <w:jc w:val="left"/>
        <w:rPr>
          <w:rFonts w:asciiTheme="minorBidi" w:hAnsiTheme="minorBidi" w:cstheme="minorBidi"/>
          <w:color w:val="000000" w:themeColor="text1"/>
          <w:lang w:val="en-GB"/>
        </w:rPr>
      </w:pPr>
      <w:r w:rsidRPr="00B81CD9">
        <w:rPr>
          <w:rFonts w:cs="Arial"/>
          <w:color w:val="000000" w:themeColor="text1"/>
        </w:rPr>
        <w:t xml:space="preserve">At its May </w:t>
      </w:r>
      <w:r w:rsidR="00196FE3" w:rsidRPr="00B81CD9">
        <w:rPr>
          <w:rFonts w:cs="Arial"/>
          <w:color w:val="000000" w:themeColor="text1"/>
        </w:rPr>
        <w:t>2025</w:t>
      </w:r>
      <w:r w:rsidRPr="00B81CD9">
        <w:rPr>
          <w:rFonts w:cs="Arial"/>
          <w:color w:val="000000" w:themeColor="text1"/>
        </w:rPr>
        <w:t xml:space="preserve"> meeting, the Committee considered KPMG’s draft </w:t>
      </w:r>
      <w:r w:rsidR="00196FE3" w:rsidRPr="00B81CD9">
        <w:rPr>
          <w:rFonts w:cs="Arial"/>
          <w:color w:val="000000" w:themeColor="text1"/>
        </w:rPr>
        <w:t>2024/25</w:t>
      </w:r>
      <w:r w:rsidRPr="00B81CD9">
        <w:rPr>
          <w:rFonts w:cs="Arial"/>
          <w:color w:val="000000" w:themeColor="text1"/>
        </w:rPr>
        <w:t xml:space="preserve"> external audit plan and strategy </w:t>
      </w:r>
      <w:r w:rsidRPr="00B81CD9">
        <w:rPr>
          <w:rFonts w:asciiTheme="minorBidi" w:hAnsiTheme="minorBidi" w:cstheme="minorBidi"/>
          <w:color w:val="000000" w:themeColor="text1"/>
        </w:rPr>
        <w:t xml:space="preserve">which set out </w:t>
      </w:r>
      <w:r w:rsidR="00577229" w:rsidRPr="00B81CD9">
        <w:rPr>
          <w:rFonts w:asciiTheme="minorBidi" w:hAnsiTheme="minorBidi" w:cstheme="minorBidi"/>
          <w:color w:val="000000" w:themeColor="text1"/>
        </w:rPr>
        <w:t xml:space="preserve">the </w:t>
      </w:r>
      <w:r w:rsidR="000B34B1" w:rsidRPr="00B81CD9">
        <w:rPr>
          <w:rFonts w:asciiTheme="minorBidi" w:hAnsiTheme="minorBidi" w:cstheme="minorBidi"/>
          <w:color w:val="000000" w:themeColor="text1"/>
        </w:rPr>
        <w:t xml:space="preserve">audit approach, audit cycle and timeline, </w:t>
      </w:r>
      <w:r w:rsidR="00577229" w:rsidRPr="00B81CD9">
        <w:rPr>
          <w:rFonts w:asciiTheme="minorBidi" w:hAnsiTheme="minorBidi" w:cstheme="minorBidi"/>
          <w:color w:val="000000" w:themeColor="text1"/>
        </w:rPr>
        <w:t>significant</w:t>
      </w:r>
      <w:r w:rsidR="000B34B1" w:rsidRPr="00B81CD9">
        <w:rPr>
          <w:rFonts w:asciiTheme="minorBidi" w:hAnsiTheme="minorBidi" w:cstheme="minorBidi"/>
          <w:color w:val="000000" w:themeColor="text1"/>
        </w:rPr>
        <w:t xml:space="preserve"> </w:t>
      </w:r>
      <w:r w:rsidR="00D466AA" w:rsidRPr="00B81CD9">
        <w:rPr>
          <w:rFonts w:asciiTheme="minorBidi" w:hAnsiTheme="minorBidi" w:cstheme="minorBidi"/>
          <w:color w:val="000000" w:themeColor="text1"/>
        </w:rPr>
        <w:t xml:space="preserve">risks </w:t>
      </w:r>
      <w:r w:rsidR="000B34B1" w:rsidRPr="00B81CD9">
        <w:rPr>
          <w:rFonts w:asciiTheme="minorBidi" w:hAnsiTheme="minorBidi" w:cstheme="minorBidi"/>
          <w:color w:val="000000" w:themeColor="text1"/>
        </w:rPr>
        <w:t>and areas of focus.</w:t>
      </w:r>
    </w:p>
    <w:p w14:paraId="0C82D685" w14:textId="2BEFCC00" w:rsidR="00577229" w:rsidRPr="00B81CD9" w:rsidRDefault="00E517CB">
      <w:pPr>
        <w:pStyle w:val="ListParagraph"/>
        <w:numPr>
          <w:ilvl w:val="1"/>
          <w:numId w:val="5"/>
        </w:numPr>
        <w:snapToGrid w:val="0"/>
        <w:spacing w:before="240" w:line="312" w:lineRule="auto"/>
        <w:ind w:left="709" w:hanging="709"/>
        <w:contextualSpacing w:val="0"/>
        <w:jc w:val="left"/>
        <w:rPr>
          <w:rFonts w:asciiTheme="minorBidi" w:hAnsiTheme="minorBidi" w:cstheme="minorBidi"/>
          <w:color w:val="000000" w:themeColor="text1"/>
          <w:szCs w:val="22"/>
          <w:lang w:val="en-GB"/>
        </w:rPr>
      </w:pPr>
      <w:r w:rsidRPr="00B81CD9">
        <w:rPr>
          <w:rFonts w:eastAsia="MingLiU"/>
          <w:bCs/>
          <w:color w:val="000000" w:themeColor="text1"/>
          <w:szCs w:val="22"/>
          <w:lang w:eastAsia="zh-HK"/>
        </w:rPr>
        <w:t xml:space="preserve">At their September </w:t>
      </w:r>
      <w:r w:rsidR="00196FE3" w:rsidRPr="00B81CD9">
        <w:rPr>
          <w:rFonts w:eastAsia="MingLiU"/>
          <w:bCs/>
          <w:color w:val="000000" w:themeColor="text1"/>
          <w:szCs w:val="22"/>
          <w:lang w:eastAsia="zh-HK"/>
        </w:rPr>
        <w:t>2025</w:t>
      </w:r>
      <w:r w:rsidRPr="00B81CD9">
        <w:rPr>
          <w:rFonts w:eastAsia="MingLiU"/>
          <w:bCs/>
          <w:color w:val="000000" w:themeColor="text1"/>
          <w:szCs w:val="22"/>
          <w:lang w:eastAsia="zh-HK"/>
        </w:rPr>
        <w:t xml:space="preserve"> meeting </w:t>
      </w:r>
      <w:r w:rsidR="001B7FA0" w:rsidRPr="00B81CD9">
        <w:rPr>
          <w:rFonts w:eastAsia="MingLiU"/>
          <w:bCs/>
          <w:color w:val="000000" w:themeColor="text1"/>
          <w:szCs w:val="22"/>
          <w:lang w:eastAsia="zh-HK"/>
        </w:rPr>
        <w:t xml:space="preserve">KPMG reported to the Committee that </w:t>
      </w:r>
      <w:r w:rsidR="00577229" w:rsidRPr="00B81CD9">
        <w:rPr>
          <w:rFonts w:eastAsia="MingLiU"/>
          <w:bCs/>
          <w:color w:val="000000" w:themeColor="text1"/>
          <w:szCs w:val="22"/>
          <w:lang w:eastAsia="zh-HK"/>
        </w:rPr>
        <w:t xml:space="preserve">since the last meeting of the Audit and Risk Committee in May </w:t>
      </w:r>
      <w:r w:rsidR="00196FE3" w:rsidRPr="00B81CD9">
        <w:rPr>
          <w:rFonts w:eastAsia="MingLiU"/>
          <w:bCs/>
          <w:color w:val="000000" w:themeColor="text1"/>
          <w:szCs w:val="22"/>
          <w:lang w:eastAsia="zh-HK"/>
        </w:rPr>
        <w:t>2025</w:t>
      </w:r>
      <w:r w:rsidR="00577229" w:rsidRPr="00B81CD9">
        <w:rPr>
          <w:rFonts w:eastAsia="MingLiU"/>
          <w:bCs/>
          <w:color w:val="000000" w:themeColor="text1"/>
          <w:szCs w:val="22"/>
          <w:lang w:eastAsia="zh-HK"/>
        </w:rPr>
        <w:t xml:space="preserve"> they had:</w:t>
      </w:r>
    </w:p>
    <w:p w14:paraId="5C8C3936" w14:textId="37E2A2E1" w:rsidR="00196FE3" w:rsidRPr="00B81CD9" w:rsidRDefault="00196FE3" w:rsidP="00196FE3">
      <w:pPr>
        <w:pStyle w:val="ListParagraph"/>
        <w:snapToGrid w:val="0"/>
        <w:spacing w:before="240" w:line="312" w:lineRule="auto"/>
        <w:ind w:left="709"/>
        <w:contextualSpacing w:val="0"/>
        <w:jc w:val="left"/>
        <w:rPr>
          <w:rFonts w:asciiTheme="minorBidi" w:hAnsiTheme="minorBidi" w:cstheme="minorBidi"/>
          <w:color w:val="000000" w:themeColor="text1"/>
          <w:szCs w:val="22"/>
          <w:lang w:val="en-GB"/>
        </w:rPr>
      </w:pPr>
      <w:r w:rsidRPr="00B81CD9">
        <w:rPr>
          <w:rFonts w:asciiTheme="minorBidi" w:hAnsiTheme="minorBidi" w:cstheme="minorBidi"/>
          <w:color w:val="000000" w:themeColor="text1"/>
          <w:szCs w:val="22"/>
        </w:rPr>
        <w:t>- Completed their planning and risk assessment procedures for the 2024/25 financial statement audits. The completed procedures had not identified any changes to the audit plan presented to the Committee in May 2025.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The significant risk areas remain: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 Valuation of post-retirement benefit obligations - LGPS gross pension liability </w:t>
      </w:r>
      <w:r w:rsidRPr="00B81CD9">
        <w:rPr>
          <w:rFonts w:asciiTheme="minorBidi" w:hAnsiTheme="minorBidi" w:cstheme="minorBidi"/>
          <w:color w:val="000000" w:themeColor="text1"/>
          <w:szCs w:val="22"/>
        </w:rPr>
        <w:br/>
        <w:t>- Management override of controls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Ahead of the next meeting of the Audit and Risk Committee on 10th November, the External Audit team would: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 Complete the agreed upon procedures audit in relation to the University’s Teacher's Pension Scheme Return for 2024/25. This will be completed and submitted ahead of the deadline of 30 September 2025;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 Complete the 2024/25 financial statements audit, presenting the findings from their work at the committee meeting; </w:t>
      </w:r>
      <w:r w:rsidRPr="00B81CD9">
        <w:rPr>
          <w:rFonts w:asciiTheme="minorBidi" w:hAnsiTheme="minorBidi" w:cstheme="minorBidi"/>
          <w:color w:val="000000" w:themeColor="text1"/>
          <w:szCs w:val="22"/>
        </w:rPr>
        <w:br/>
        <w:t> </w:t>
      </w:r>
      <w:r w:rsidRPr="00B81CD9">
        <w:rPr>
          <w:rFonts w:asciiTheme="minorBidi" w:hAnsiTheme="minorBidi" w:cstheme="minorBidi"/>
          <w:color w:val="000000" w:themeColor="text1"/>
          <w:szCs w:val="22"/>
        </w:rPr>
        <w:br/>
        <w:t>- Commence the agreed upon procedures audit in relation to the Annual Certification of Expenditure for 2024/25. This will be completed ahead of the 31 December 2025 deadline.</w:t>
      </w:r>
    </w:p>
    <w:p w14:paraId="25AAB4A8" w14:textId="77777777" w:rsidR="00196FE3" w:rsidRPr="00B81CD9" w:rsidRDefault="00196FE3" w:rsidP="00196FE3">
      <w:pPr>
        <w:pStyle w:val="ListParagraph"/>
        <w:snapToGrid w:val="0"/>
        <w:spacing w:before="240" w:line="312" w:lineRule="auto"/>
        <w:ind w:left="709"/>
        <w:jc w:val="left"/>
        <w:rPr>
          <w:rFonts w:cs="Arial"/>
          <w:i/>
          <w:iCs/>
          <w:color w:val="000000" w:themeColor="text1"/>
        </w:rPr>
      </w:pPr>
    </w:p>
    <w:p w14:paraId="7DAC19C8" w14:textId="77777777" w:rsidR="00196FE3" w:rsidRPr="00B81CD9" w:rsidRDefault="00196FE3" w:rsidP="00196FE3">
      <w:pPr>
        <w:pStyle w:val="ListParagraph"/>
        <w:snapToGrid w:val="0"/>
        <w:spacing w:before="240" w:line="312" w:lineRule="auto"/>
        <w:ind w:left="709"/>
        <w:jc w:val="left"/>
        <w:rPr>
          <w:rFonts w:cs="Arial"/>
          <w:i/>
          <w:iCs/>
          <w:color w:val="000000" w:themeColor="text1"/>
        </w:rPr>
      </w:pPr>
    </w:p>
    <w:p w14:paraId="2A23E50D" w14:textId="20E148A1" w:rsidR="00915C3E" w:rsidRPr="00B81CD9" w:rsidRDefault="00DA1A94">
      <w:pPr>
        <w:pStyle w:val="ListParagraph"/>
        <w:numPr>
          <w:ilvl w:val="1"/>
          <w:numId w:val="5"/>
        </w:numPr>
        <w:snapToGrid w:val="0"/>
        <w:spacing w:before="240" w:line="312" w:lineRule="auto"/>
        <w:ind w:left="709" w:hanging="709"/>
        <w:jc w:val="left"/>
        <w:rPr>
          <w:rFonts w:cs="Arial"/>
          <w:i/>
          <w:iCs/>
          <w:color w:val="000000" w:themeColor="text1"/>
        </w:rPr>
      </w:pPr>
      <w:r w:rsidRPr="00B81CD9">
        <w:rPr>
          <w:rFonts w:cs="Arial"/>
          <w:color w:val="000000" w:themeColor="text1"/>
        </w:rPr>
        <w:t xml:space="preserve">At their November </w:t>
      </w:r>
      <w:r w:rsidR="00196FE3" w:rsidRPr="00B81CD9">
        <w:rPr>
          <w:rFonts w:cs="Arial"/>
          <w:color w:val="000000" w:themeColor="text1"/>
        </w:rPr>
        <w:t>2025</w:t>
      </w:r>
      <w:r w:rsidRPr="00B81CD9">
        <w:rPr>
          <w:rFonts w:cs="Arial"/>
          <w:color w:val="000000" w:themeColor="text1"/>
        </w:rPr>
        <w:t xml:space="preserve"> meeting</w:t>
      </w:r>
      <w:r w:rsidR="007D5D3E" w:rsidRPr="00B81CD9">
        <w:rPr>
          <w:rFonts w:cs="Arial"/>
          <w:color w:val="000000" w:themeColor="text1"/>
        </w:rPr>
        <w:t xml:space="preserve"> committee received the External aud</w:t>
      </w:r>
      <w:r w:rsidR="00915C3E" w:rsidRPr="00B81CD9">
        <w:rPr>
          <w:rFonts w:cs="Arial"/>
          <w:color w:val="000000" w:themeColor="text1"/>
        </w:rPr>
        <w:t xml:space="preserve">itor’s draft report on the University’s financial statements for the year ended 31 July </w:t>
      </w:r>
      <w:r w:rsidRPr="00B81CD9">
        <w:rPr>
          <w:rFonts w:cs="Arial"/>
          <w:color w:val="000000" w:themeColor="text1"/>
        </w:rPr>
        <w:t>202</w:t>
      </w:r>
      <w:r w:rsidR="00196FE3" w:rsidRPr="00B81CD9">
        <w:rPr>
          <w:rFonts w:cs="Arial"/>
          <w:color w:val="000000" w:themeColor="text1"/>
        </w:rPr>
        <w:t>5</w:t>
      </w:r>
      <w:r w:rsidR="00915C3E" w:rsidRPr="00B81CD9">
        <w:rPr>
          <w:rFonts w:cs="Arial"/>
          <w:color w:val="000000" w:themeColor="text1"/>
        </w:rPr>
        <w:t xml:space="preserve">. The committee noted </w:t>
      </w:r>
      <w:r w:rsidR="007D5D3E" w:rsidRPr="00B81CD9">
        <w:rPr>
          <w:rFonts w:cs="Arial"/>
          <w:color w:val="000000" w:themeColor="text1"/>
        </w:rPr>
        <w:t xml:space="preserve"> that subject to Board’s approval, the External Auditors expect to be in a position to sign their audit opinion on the Board’s approval of the financial statements and the </w:t>
      </w:r>
      <w:r w:rsidR="0015789F" w:rsidRPr="00B81CD9">
        <w:rPr>
          <w:rFonts w:cs="Arial"/>
          <w:color w:val="000000" w:themeColor="text1"/>
        </w:rPr>
        <w:t>auditor’s</w:t>
      </w:r>
      <w:r w:rsidR="007D5D3E" w:rsidRPr="00B81CD9">
        <w:rPr>
          <w:rFonts w:cs="Arial"/>
          <w:color w:val="000000" w:themeColor="text1"/>
        </w:rPr>
        <w:t xml:space="preserve"> representation letter on </w:t>
      </w:r>
      <w:r w:rsidRPr="00B81CD9">
        <w:rPr>
          <w:rFonts w:cs="Arial"/>
          <w:color w:val="000000" w:themeColor="text1"/>
        </w:rPr>
        <w:t>2</w:t>
      </w:r>
      <w:r w:rsidR="00196FE3" w:rsidRPr="00B81CD9">
        <w:rPr>
          <w:rFonts w:cs="Arial"/>
          <w:color w:val="000000" w:themeColor="text1"/>
        </w:rPr>
        <w:t>7</w:t>
      </w:r>
      <w:r w:rsidR="007D5D3E" w:rsidRPr="00B81CD9">
        <w:rPr>
          <w:rFonts w:cs="Arial"/>
          <w:color w:val="000000" w:themeColor="text1"/>
        </w:rPr>
        <w:t xml:space="preserve"> November</w:t>
      </w:r>
      <w:r w:rsidR="7CC9AE29" w:rsidRPr="00B81CD9">
        <w:rPr>
          <w:rFonts w:cs="Arial"/>
          <w:color w:val="000000" w:themeColor="text1"/>
        </w:rPr>
        <w:t xml:space="preserve">. </w:t>
      </w:r>
      <w:r w:rsidR="00915C3E" w:rsidRPr="00B81CD9">
        <w:rPr>
          <w:rFonts w:cs="Arial"/>
          <w:color w:val="000000" w:themeColor="text1"/>
        </w:rPr>
        <w:t xml:space="preserve">At that meeting the Committee also considered the audited financial statements for the year ended 31 July </w:t>
      </w:r>
      <w:r w:rsidRPr="00B81CD9">
        <w:rPr>
          <w:rFonts w:cs="Arial"/>
          <w:color w:val="000000" w:themeColor="text1"/>
        </w:rPr>
        <w:t>202</w:t>
      </w:r>
      <w:r w:rsidR="00196FE3" w:rsidRPr="00B81CD9">
        <w:rPr>
          <w:rFonts w:cs="Arial"/>
          <w:color w:val="000000" w:themeColor="text1"/>
        </w:rPr>
        <w:t>5</w:t>
      </w:r>
      <w:r w:rsidR="00915C3E" w:rsidRPr="00B81CD9">
        <w:rPr>
          <w:rFonts w:cs="Arial"/>
          <w:color w:val="000000" w:themeColor="text1"/>
        </w:rPr>
        <w:t xml:space="preserve"> prior to their presentation to the Board. The </w:t>
      </w:r>
      <w:r w:rsidR="00915C3E" w:rsidRPr="00B81CD9">
        <w:rPr>
          <w:rFonts w:cs="Arial"/>
          <w:color w:val="000000" w:themeColor="text1"/>
          <w:lang w:val="en-GB"/>
        </w:rPr>
        <w:t>University’s Financial Statements will be signed with electronic signatures.</w:t>
      </w:r>
    </w:p>
    <w:p w14:paraId="1EF4EDF4" w14:textId="4A1A8941" w:rsidR="00326187" w:rsidRPr="00B81CD9" w:rsidRDefault="254A9DA0" w:rsidP="0019017B">
      <w:pPr>
        <w:pStyle w:val="ListParagraph"/>
        <w:snapToGrid w:val="0"/>
        <w:spacing w:before="240" w:line="312" w:lineRule="auto"/>
        <w:ind w:left="709"/>
        <w:contextualSpacing w:val="0"/>
        <w:jc w:val="left"/>
        <w:rPr>
          <w:rFonts w:cs="Arial"/>
          <w:i/>
          <w:iCs/>
          <w:color w:val="000000" w:themeColor="text1"/>
          <w:szCs w:val="22"/>
        </w:rPr>
      </w:pPr>
      <w:r w:rsidRPr="00B81CD9">
        <w:rPr>
          <w:rFonts w:cs="Arial"/>
          <w:i/>
          <w:iCs/>
          <w:color w:val="000000" w:themeColor="text1"/>
        </w:rPr>
        <w:t>Evaluation of External Audit service</w:t>
      </w:r>
    </w:p>
    <w:p w14:paraId="685FEB50" w14:textId="3CA45D4B" w:rsidR="00865601" w:rsidRPr="00B81CD9" w:rsidRDefault="254A9DA0">
      <w:pPr>
        <w:pStyle w:val="ListParagraph"/>
        <w:numPr>
          <w:ilvl w:val="1"/>
          <w:numId w:val="5"/>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In line with the best practice recommended in the CUC’s </w:t>
      </w:r>
      <w:r w:rsidR="00B92488" w:rsidRPr="00B81CD9">
        <w:rPr>
          <w:rFonts w:cs="Arial"/>
          <w:i/>
          <w:iCs/>
          <w:color w:val="000000" w:themeColor="text1"/>
        </w:rPr>
        <w:t>Audit Committee Code of Practice</w:t>
      </w:r>
      <w:r w:rsidRPr="00B81CD9">
        <w:rPr>
          <w:rFonts w:cs="Arial"/>
          <w:color w:val="000000" w:themeColor="text1"/>
        </w:rPr>
        <w:t xml:space="preserve">, the Committee </w:t>
      </w:r>
      <w:r w:rsidR="00D04BA8" w:rsidRPr="00B81CD9">
        <w:rPr>
          <w:rFonts w:cs="Arial"/>
          <w:color w:val="000000" w:themeColor="text1"/>
        </w:rPr>
        <w:t>considered its comfort with the</w:t>
      </w:r>
      <w:r w:rsidRPr="00B81CD9">
        <w:rPr>
          <w:rFonts w:cs="Arial"/>
          <w:color w:val="000000" w:themeColor="text1"/>
        </w:rPr>
        <w:t xml:space="preserve"> external auditor’s performance and effectiveness </w:t>
      </w:r>
      <w:r w:rsidR="00DA1A94" w:rsidRPr="00B81CD9">
        <w:rPr>
          <w:rFonts w:cs="Arial"/>
          <w:color w:val="000000" w:themeColor="text1"/>
        </w:rPr>
        <w:t>at its February 202</w:t>
      </w:r>
      <w:r w:rsidR="00196FE3" w:rsidRPr="00B81CD9">
        <w:rPr>
          <w:rFonts w:cs="Arial"/>
          <w:color w:val="000000" w:themeColor="text1"/>
        </w:rPr>
        <w:t>5</w:t>
      </w:r>
      <w:r w:rsidR="00DA1A94" w:rsidRPr="00B81CD9">
        <w:rPr>
          <w:rFonts w:cs="Arial"/>
          <w:color w:val="000000" w:themeColor="text1"/>
        </w:rPr>
        <w:t xml:space="preserve"> meeting.</w:t>
      </w:r>
    </w:p>
    <w:p w14:paraId="40748F38" w14:textId="77777777" w:rsidR="004072E2" w:rsidRPr="00B81CD9" w:rsidRDefault="254A9DA0">
      <w:pPr>
        <w:pStyle w:val="ListParagraph"/>
        <w:numPr>
          <w:ilvl w:val="0"/>
          <w:numId w:val="5"/>
        </w:numPr>
        <w:snapToGrid w:val="0"/>
        <w:spacing w:before="240" w:line="312" w:lineRule="auto"/>
        <w:ind w:left="709" w:hanging="709"/>
        <w:contextualSpacing w:val="0"/>
        <w:jc w:val="left"/>
        <w:rPr>
          <w:rFonts w:cs="Arial"/>
          <w:b/>
          <w:bCs/>
          <w:color w:val="000000" w:themeColor="text1"/>
          <w:lang w:val="en-GB"/>
        </w:rPr>
      </w:pPr>
      <w:r w:rsidRPr="00B81CD9">
        <w:rPr>
          <w:rFonts w:cs="Arial"/>
          <w:b/>
          <w:bCs/>
          <w:color w:val="000000" w:themeColor="text1"/>
          <w:lang w:val="en-GB"/>
        </w:rPr>
        <w:t>High Risk Areas or Serious Incidents</w:t>
      </w:r>
    </w:p>
    <w:p w14:paraId="4177F26E" w14:textId="1C2B265B" w:rsidR="00993AB4" w:rsidRPr="00B81CD9" w:rsidRDefault="00993AB4">
      <w:pPr>
        <w:pStyle w:val="ListParagraph"/>
        <w:numPr>
          <w:ilvl w:val="1"/>
          <w:numId w:val="4"/>
        </w:numPr>
        <w:snapToGrid w:val="0"/>
        <w:spacing w:before="240" w:line="312" w:lineRule="auto"/>
        <w:ind w:left="720" w:right="-45" w:hanging="720"/>
        <w:contextualSpacing w:val="0"/>
        <w:jc w:val="left"/>
        <w:rPr>
          <w:rFonts w:cs="Arial"/>
          <w:color w:val="000000" w:themeColor="text1"/>
        </w:rPr>
      </w:pPr>
      <w:r w:rsidRPr="00B81CD9">
        <w:rPr>
          <w:rFonts w:cs="Arial"/>
          <w:color w:val="000000" w:themeColor="text1"/>
        </w:rPr>
        <w:t xml:space="preserve">The </w:t>
      </w:r>
      <w:r w:rsidR="00196FE3" w:rsidRPr="00B81CD9">
        <w:rPr>
          <w:rFonts w:cs="Arial"/>
          <w:color w:val="000000" w:themeColor="text1"/>
        </w:rPr>
        <w:t>Payroll</w:t>
      </w:r>
      <w:r w:rsidRPr="00B81CD9">
        <w:rPr>
          <w:rFonts w:cs="Arial"/>
          <w:color w:val="000000" w:themeColor="text1"/>
        </w:rPr>
        <w:t xml:space="preserve"> Internal audit review had</w:t>
      </w:r>
      <w:r w:rsidR="00DA1A94" w:rsidRPr="00B81CD9">
        <w:rPr>
          <w:rFonts w:cs="Arial"/>
          <w:color w:val="000000" w:themeColor="text1"/>
        </w:rPr>
        <w:t xml:space="preserve"> a</w:t>
      </w:r>
      <w:r w:rsidRPr="00B81CD9">
        <w:rPr>
          <w:rFonts w:cs="Arial"/>
          <w:color w:val="000000" w:themeColor="text1"/>
        </w:rPr>
        <w:t xml:space="preserve"> ‘</w:t>
      </w:r>
      <w:r w:rsidR="00196FE3" w:rsidRPr="00B81CD9">
        <w:rPr>
          <w:rFonts w:cs="Arial"/>
          <w:color w:val="000000" w:themeColor="text1"/>
        </w:rPr>
        <w:t>no assurance’</w:t>
      </w:r>
      <w:r w:rsidRPr="00B81CD9">
        <w:rPr>
          <w:rFonts w:cs="Arial"/>
          <w:color w:val="000000" w:themeColor="text1"/>
        </w:rPr>
        <w:t xml:space="preserve"> rating details of this are provided above (at section 3.4 onwards). It is important for Board to note that the Internal Audit topics had been selected on the basis of a risk-based plan.</w:t>
      </w:r>
      <w:r w:rsidR="00196FE3" w:rsidRPr="00B81CD9">
        <w:rPr>
          <w:rFonts w:cs="Arial"/>
          <w:color w:val="000000" w:themeColor="text1"/>
        </w:rPr>
        <w:t xml:space="preserve"> The Board considered the report and associated actions at its meeting in June 2025, and a follow-up audit is included on the Internal Audit plan for 2025/26.</w:t>
      </w:r>
    </w:p>
    <w:p w14:paraId="421704D5" w14:textId="2CFD28D3" w:rsidR="001F10F5" w:rsidRPr="00B81CD9" w:rsidRDefault="254A9DA0">
      <w:pPr>
        <w:pStyle w:val="ListParagraph"/>
        <w:numPr>
          <w:ilvl w:val="0"/>
          <w:numId w:val="4"/>
        </w:numPr>
        <w:snapToGrid w:val="0"/>
        <w:spacing w:before="240" w:line="312" w:lineRule="auto"/>
        <w:ind w:left="709" w:hanging="709"/>
        <w:contextualSpacing w:val="0"/>
        <w:jc w:val="left"/>
        <w:rPr>
          <w:rFonts w:cs="Arial"/>
          <w:b/>
          <w:bCs/>
          <w:color w:val="000000" w:themeColor="text1"/>
        </w:rPr>
      </w:pPr>
      <w:r w:rsidRPr="00B81CD9">
        <w:rPr>
          <w:rFonts w:cs="Arial"/>
          <w:b/>
          <w:bCs/>
          <w:color w:val="000000" w:themeColor="text1"/>
        </w:rPr>
        <w:t>Other Reports considered</w:t>
      </w:r>
      <w:r w:rsidR="00DA4263" w:rsidRPr="00B81CD9">
        <w:rPr>
          <w:rFonts w:cs="Arial"/>
          <w:b/>
          <w:bCs/>
          <w:color w:val="000000" w:themeColor="text1"/>
        </w:rPr>
        <w:t xml:space="preserve"> by the Committee during </w:t>
      </w:r>
      <w:r w:rsidR="00DA1A94" w:rsidRPr="00B81CD9">
        <w:rPr>
          <w:rFonts w:cs="Arial"/>
          <w:b/>
          <w:bCs/>
          <w:color w:val="000000" w:themeColor="text1"/>
        </w:rPr>
        <w:t>2023/24</w:t>
      </w:r>
    </w:p>
    <w:p w14:paraId="5623A1EA" w14:textId="6C3CCD17" w:rsidR="00AF29F4" w:rsidRPr="00B81CD9" w:rsidRDefault="00AF29F4" w:rsidP="00524768">
      <w:pPr>
        <w:snapToGrid w:val="0"/>
        <w:spacing w:before="240" w:line="312" w:lineRule="auto"/>
        <w:jc w:val="left"/>
        <w:rPr>
          <w:rFonts w:cs="Arial"/>
          <w:i/>
          <w:iCs/>
          <w:color w:val="000000" w:themeColor="text1"/>
          <w:szCs w:val="22"/>
        </w:rPr>
      </w:pPr>
      <w:r w:rsidRPr="00B81CD9">
        <w:rPr>
          <w:rFonts w:cs="Arial"/>
          <w:i/>
          <w:iCs/>
          <w:color w:val="000000" w:themeColor="text1"/>
          <w:szCs w:val="22"/>
        </w:rPr>
        <w:t>Annual Report and Accounts</w:t>
      </w:r>
    </w:p>
    <w:p w14:paraId="18303519" w14:textId="48005EC5" w:rsidR="00526BC9" w:rsidRPr="00B81CD9" w:rsidRDefault="254A9DA0">
      <w:pPr>
        <w:pStyle w:val="ListParagraph"/>
        <w:numPr>
          <w:ilvl w:val="1"/>
          <w:numId w:val="4"/>
        </w:numPr>
        <w:snapToGrid w:val="0"/>
        <w:spacing w:before="240" w:line="312" w:lineRule="auto"/>
        <w:ind w:left="709" w:hanging="709"/>
        <w:contextualSpacing w:val="0"/>
        <w:jc w:val="left"/>
        <w:rPr>
          <w:i/>
          <w:color w:val="000000" w:themeColor="text1"/>
        </w:rPr>
      </w:pPr>
      <w:r w:rsidRPr="00B81CD9">
        <w:rPr>
          <w:rFonts w:cs="Arial"/>
          <w:color w:val="000000" w:themeColor="text1"/>
        </w:rPr>
        <w:t xml:space="preserve">At its meetings in November </w:t>
      </w:r>
      <w:r w:rsidR="00196FE3" w:rsidRPr="00B81CD9">
        <w:rPr>
          <w:rFonts w:cs="Arial"/>
          <w:color w:val="000000" w:themeColor="text1"/>
        </w:rPr>
        <w:t>2024</w:t>
      </w:r>
      <w:r w:rsidRPr="00B81CD9">
        <w:rPr>
          <w:rFonts w:cs="Arial"/>
          <w:color w:val="000000" w:themeColor="text1"/>
        </w:rPr>
        <w:t xml:space="preserve"> and November </w:t>
      </w:r>
      <w:r w:rsidR="00196FE3" w:rsidRPr="00B81CD9">
        <w:rPr>
          <w:rFonts w:cs="Arial"/>
          <w:color w:val="000000" w:themeColor="text1"/>
        </w:rPr>
        <w:t>2025</w:t>
      </w:r>
      <w:r w:rsidRPr="00B81CD9">
        <w:rPr>
          <w:rFonts w:cs="Arial"/>
          <w:color w:val="000000" w:themeColor="text1"/>
        </w:rPr>
        <w:t xml:space="preserve">, the Committee considered the Financial Statements for the preceding financial year and the external auditor’s management letter, and recommended them to the Board of Governors for approval. </w:t>
      </w:r>
    </w:p>
    <w:p w14:paraId="2955686B" w14:textId="6D22A048" w:rsidR="000B6D0E" w:rsidRPr="00B81CD9" w:rsidRDefault="00526BC9">
      <w:pPr>
        <w:pStyle w:val="ListParagraph"/>
        <w:numPr>
          <w:ilvl w:val="0"/>
          <w:numId w:val="4"/>
        </w:numPr>
        <w:snapToGrid w:val="0"/>
        <w:spacing w:before="240" w:line="312" w:lineRule="auto"/>
        <w:ind w:left="709" w:hanging="709"/>
        <w:contextualSpacing w:val="0"/>
        <w:jc w:val="left"/>
        <w:rPr>
          <w:b/>
          <w:color w:val="000000" w:themeColor="text1"/>
        </w:rPr>
      </w:pPr>
      <w:r w:rsidRPr="00B81CD9">
        <w:rPr>
          <w:b/>
          <w:color w:val="000000" w:themeColor="text1"/>
        </w:rPr>
        <w:tab/>
      </w:r>
      <w:r w:rsidR="00196FE3" w:rsidRPr="00B81CD9">
        <w:rPr>
          <w:b/>
          <w:color w:val="000000" w:themeColor="text1"/>
        </w:rPr>
        <w:t>2024/25</w:t>
      </w:r>
      <w:r w:rsidR="004072E2" w:rsidRPr="00B81CD9">
        <w:rPr>
          <w:b/>
          <w:color w:val="000000" w:themeColor="text1"/>
        </w:rPr>
        <w:t xml:space="preserve"> </w:t>
      </w:r>
      <w:r w:rsidR="00FD542E" w:rsidRPr="00B81CD9">
        <w:rPr>
          <w:b/>
          <w:color w:val="000000" w:themeColor="text1"/>
        </w:rPr>
        <w:t>and</w:t>
      </w:r>
      <w:r w:rsidR="0018752A" w:rsidRPr="00B81CD9">
        <w:rPr>
          <w:b/>
          <w:color w:val="000000" w:themeColor="text1"/>
        </w:rPr>
        <w:t xml:space="preserve"> </w:t>
      </w:r>
      <w:r w:rsidR="00196FE3" w:rsidRPr="00B81CD9">
        <w:rPr>
          <w:b/>
          <w:color w:val="000000" w:themeColor="text1"/>
        </w:rPr>
        <w:t>2025/26</w:t>
      </w:r>
      <w:r w:rsidR="00FD542E" w:rsidRPr="00B81CD9">
        <w:rPr>
          <w:b/>
          <w:color w:val="000000" w:themeColor="text1"/>
        </w:rPr>
        <w:t xml:space="preserve"> </w:t>
      </w:r>
      <w:r w:rsidR="004072E2" w:rsidRPr="00B81CD9">
        <w:rPr>
          <w:b/>
          <w:color w:val="000000" w:themeColor="text1"/>
        </w:rPr>
        <w:t>A</w:t>
      </w:r>
      <w:r w:rsidR="000B6D0E" w:rsidRPr="00B81CD9">
        <w:rPr>
          <w:b/>
          <w:color w:val="000000" w:themeColor="text1"/>
        </w:rPr>
        <w:t xml:space="preserve">nnual </w:t>
      </w:r>
      <w:r w:rsidR="004072E2" w:rsidRPr="00B81CD9">
        <w:rPr>
          <w:b/>
          <w:color w:val="000000" w:themeColor="text1"/>
        </w:rPr>
        <w:t>A</w:t>
      </w:r>
      <w:r w:rsidR="00AF29F4" w:rsidRPr="00B81CD9">
        <w:rPr>
          <w:b/>
          <w:color w:val="000000" w:themeColor="text1"/>
        </w:rPr>
        <w:t>ccountability</w:t>
      </w:r>
      <w:r w:rsidR="004072E2" w:rsidRPr="00B81CD9">
        <w:rPr>
          <w:b/>
          <w:color w:val="000000" w:themeColor="text1"/>
        </w:rPr>
        <w:t xml:space="preserve"> Return</w:t>
      </w:r>
      <w:r w:rsidR="00FD542E" w:rsidRPr="00B81CD9">
        <w:rPr>
          <w:b/>
          <w:color w:val="000000" w:themeColor="text1"/>
        </w:rPr>
        <w:t>s</w:t>
      </w:r>
    </w:p>
    <w:p w14:paraId="47D4FA4E" w14:textId="0C653B4F" w:rsidR="00E06853" w:rsidRPr="00B81CD9" w:rsidRDefault="254A9DA0">
      <w:pPr>
        <w:pStyle w:val="ListParagraph"/>
        <w:numPr>
          <w:ilvl w:val="1"/>
          <w:numId w:val="4"/>
        </w:numPr>
        <w:snapToGrid w:val="0"/>
        <w:spacing w:before="240" w:line="312" w:lineRule="auto"/>
        <w:ind w:left="709" w:hanging="709"/>
        <w:jc w:val="left"/>
        <w:rPr>
          <w:rFonts w:cs="Arial"/>
          <w:color w:val="000000" w:themeColor="text1"/>
        </w:rPr>
      </w:pPr>
      <w:r w:rsidRPr="00B81CD9">
        <w:rPr>
          <w:rFonts w:cs="Arial"/>
          <w:color w:val="000000" w:themeColor="text1"/>
        </w:rPr>
        <w:t xml:space="preserve">The Committee considered and approved its draft Annual Report to the Board of Governors and the Vice Chancellor, which covered the previous financial year and any significant issues up to the signing of the report.    </w:t>
      </w:r>
    </w:p>
    <w:p w14:paraId="22A0EE16" w14:textId="12DA982A" w:rsidR="00CA4AC3" w:rsidRPr="00B81CD9" w:rsidRDefault="00CA4AC3" w:rsidP="00CA4AC3">
      <w:pPr>
        <w:pStyle w:val="ListParagraph"/>
        <w:snapToGrid w:val="0"/>
        <w:spacing w:before="240" w:line="312" w:lineRule="auto"/>
        <w:ind w:left="709"/>
        <w:jc w:val="left"/>
        <w:rPr>
          <w:rFonts w:cs="Arial"/>
          <w:color w:val="000000" w:themeColor="text1"/>
        </w:rPr>
      </w:pPr>
    </w:p>
    <w:p w14:paraId="670C3263" w14:textId="27255C4B" w:rsidR="00CA4AC3" w:rsidRPr="00B81CD9" w:rsidRDefault="00CA4AC3" w:rsidP="00BA5657">
      <w:pPr>
        <w:ind w:left="709" w:hanging="709"/>
        <w:rPr>
          <w:color w:val="000000" w:themeColor="text1"/>
        </w:rPr>
      </w:pPr>
      <w:r w:rsidRPr="00B81CD9">
        <w:rPr>
          <w:color w:val="000000" w:themeColor="text1"/>
        </w:rPr>
        <w:t>7.2</w:t>
      </w:r>
      <w:r w:rsidRPr="00B81CD9">
        <w:rPr>
          <w:color w:val="000000" w:themeColor="text1"/>
        </w:rPr>
        <w:tab/>
        <w:t xml:space="preserve">The Committee reviewed institutional documentation prepared as part of the University’s regulatory obligations prior to its submission to the Board of Governors for approval. This included the reports prepared in relation to the Prevent statutory duty </w:t>
      </w:r>
    </w:p>
    <w:p w14:paraId="3A2950AD" w14:textId="793D9FFD" w:rsidR="00BB2442" w:rsidRPr="00B81CD9" w:rsidRDefault="00967C5C">
      <w:pPr>
        <w:pStyle w:val="ListParagraph"/>
        <w:numPr>
          <w:ilvl w:val="0"/>
          <w:numId w:val="4"/>
        </w:numPr>
        <w:snapToGrid w:val="0"/>
        <w:spacing w:before="240" w:line="312" w:lineRule="auto"/>
        <w:ind w:left="709" w:hanging="709"/>
        <w:contextualSpacing w:val="0"/>
        <w:jc w:val="left"/>
        <w:rPr>
          <w:b/>
          <w:color w:val="000000" w:themeColor="text1"/>
        </w:rPr>
      </w:pPr>
      <w:r w:rsidRPr="00B81CD9">
        <w:rPr>
          <w:b/>
          <w:color w:val="000000" w:themeColor="text1"/>
        </w:rPr>
        <w:t>Fraud, Irregularity, M</w:t>
      </w:r>
      <w:r w:rsidR="00BB2442" w:rsidRPr="00B81CD9">
        <w:rPr>
          <w:b/>
          <w:color w:val="000000" w:themeColor="text1"/>
        </w:rPr>
        <w:t>oney-laundering</w:t>
      </w:r>
      <w:r w:rsidR="00D97ADC" w:rsidRPr="00B81CD9">
        <w:rPr>
          <w:b/>
          <w:color w:val="000000" w:themeColor="text1"/>
        </w:rPr>
        <w:t>, Bribery Act and Whistleblowing</w:t>
      </w:r>
    </w:p>
    <w:p w14:paraId="5799A656" w14:textId="142EB976" w:rsidR="00C45A04" w:rsidRPr="00B81CD9" w:rsidRDefault="254A9DA0">
      <w:pPr>
        <w:pStyle w:val="ListParagraph"/>
        <w:numPr>
          <w:ilvl w:val="1"/>
          <w:numId w:val="4"/>
        </w:numPr>
        <w:snapToGrid w:val="0"/>
        <w:spacing w:before="240" w:line="312" w:lineRule="auto"/>
        <w:ind w:left="709" w:hanging="709"/>
        <w:contextualSpacing w:val="0"/>
        <w:jc w:val="left"/>
        <w:rPr>
          <w:rFonts w:cs="Arial"/>
          <w:i/>
          <w:iCs/>
          <w:color w:val="000000" w:themeColor="text1"/>
          <w:szCs w:val="22"/>
        </w:rPr>
      </w:pPr>
      <w:r w:rsidRPr="00B81CD9">
        <w:rPr>
          <w:rFonts w:cs="Arial"/>
          <w:color w:val="000000" w:themeColor="text1"/>
        </w:rPr>
        <w:t xml:space="preserve">The Committee considered the Annual Report on fraud, irregularity, money laundering and whistleblowing at its </w:t>
      </w:r>
      <w:r w:rsidR="00C63A44" w:rsidRPr="00B81CD9">
        <w:rPr>
          <w:rFonts w:cs="Arial"/>
          <w:color w:val="000000" w:themeColor="text1"/>
        </w:rPr>
        <w:t>September</w:t>
      </w:r>
      <w:r w:rsidR="00885FE2" w:rsidRPr="00B81CD9">
        <w:rPr>
          <w:rFonts w:cs="Arial"/>
          <w:color w:val="000000" w:themeColor="text1"/>
        </w:rPr>
        <w:t xml:space="preserve"> </w:t>
      </w:r>
      <w:r w:rsidR="00196FE3" w:rsidRPr="00B81CD9">
        <w:rPr>
          <w:rFonts w:cs="Arial"/>
          <w:color w:val="000000" w:themeColor="text1"/>
        </w:rPr>
        <w:t>2025</w:t>
      </w:r>
      <w:r w:rsidR="00885FE2" w:rsidRPr="00B81CD9">
        <w:rPr>
          <w:rFonts w:cs="Arial"/>
          <w:color w:val="000000" w:themeColor="text1"/>
        </w:rPr>
        <w:t xml:space="preserve"> </w:t>
      </w:r>
      <w:r w:rsidRPr="00B81CD9">
        <w:rPr>
          <w:rFonts w:cs="Arial"/>
          <w:color w:val="000000" w:themeColor="text1"/>
        </w:rPr>
        <w:t xml:space="preserve">meeting.  </w:t>
      </w:r>
    </w:p>
    <w:p w14:paraId="074F15C3" w14:textId="11950F65" w:rsidR="00AD1EEA" w:rsidRPr="00B81CD9" w:rsidRDefault="00AD1EEA">
      <w:pPr>
        <w:pStyle w:val="ListParagraph"/>
        <w:numPr>
          <w:ilvl w:val="1"/>
          <w:numId w:val="4"/>
        </w:numPr>
        <w:snapToGrid w:val="0"/>
        <w:spacing w:before="240" w:line="312" w:lineRule="auto"/>
        <w:ind w:left="709" w:hanging="709"/>
        <w:contextualSpacing w:val="0"/>
        <w:jc w:val="left"/>
        <w:rPr>
          <w:rFonts w:cs="Arial"/>
          <w:i/>
          <w:iCs/>
          <w:color w:val="000000" w:themeColor="text1"/>
          <w:szCs w:val="22"/>
        </w:rPr>
      </w:pPr>
      <w:r w:rsidRPr="00B81CD9">
        <w:rPr>
          <w:rFonts w:cs="Arial"/>
          <w:color w:val="000000" w:themeColor="text1"/>
        </w:rPr>
        <w:t xml:space="preserve">In </w:t>
      </w:r>
      <w:r w:rsidR="00196FE3" w:rsidRPr="00B81CD9">
        <w:rPr>
          <w:rFonts w:cs="Arial"/>
          <w:color w:val="000000" w:themeColor="text1"/>
        </w:rPr>
        <w:t>2024/25</w:t>
      </w:r>
      <w:r w:rsidRPr="00B81CD9">
        <w:rPr>
          <w:rFonts w:cs="Arial"/>
          <w:color w:val="000000" w:themeColor="text1"/>
        </w:rPr>
        <w:t xml:space="preserve"> </w:t>
      </w:r>
      <w:r w:rsidR="00196FE3" w:rsidRPr="00B81CD9">
        <w:rPr>
          <w:rFonts w:cs="Arial"/>
          <w:color w:val="000000" w:themeColor="text1"/>
        </w:rPr>
        <w:t>one</w:t>
      </w:r>
      <w:r w:rsidRPr="00B81CD9">
        <w:rPr>
          <w:rFonts w:cs="Arial"/>
          <w:color w:val="000000" w:themeColor="text1"/>
        </w:rPr>
        <w:t xml:space="preserve"> disclosures under the Public Interest Disclosure policy </w:t>
      </w:r>
      <w:r w:rsidR="00196FE3" w:rsidRPr="00B81CD9">
        <w:rPr>
          <w:rFonts w:cs="Arial"/>
          <w:color w:val="000000" w:themeColor="text1"/>
        </w:rPr>
        <w:t>was</w:t>
      </w:r>
      <w:r w:rsidRPr="00B81CD9">
        <w:rPr>
          <w:rFonts w:cs="Arial"/>
          <w:color w:val="000000" w:themeColor="text1"/>
        </w:rPr>
        <w:t xml:space="preserve"> made</w:t>
      </w:r>
      <w:r w:rsidR="00196FE3" w:rsidRPr="00B81CD9">
        <w:rPr>
          <w:rFonts w:cs="Arial"/>
          <w:color w:val="000000" w:themeColor="text1"/>
        </w:rPr>
        <w:t xml:space="preserve">. None of the allegations were upheld, and two minor recommendations were made as the process was used as an opportunity to identify best practice. </w:t>
      </w:r>
      <w:r w:rsidRPr="00B81CD9">
        <w:rPr>
          <w:rFonts w:cs="Arial"/>
          <w:color w:val="000000" w:themeColor="text1"/>
        </w:rPr>
        <w:t xml:space="preserve">No incidents of alleged fraud were recorded in </w:t>
      </w:r>
      <w:r w:rsidR="00196FE3" w:rsidRPr="00B81CD9">
        <w:rPr>
          <w:rFonts w:cs="Arial"/>
          <w:color w:val="000000" w:themeColor="text1"/>
        </w:rPr>
        <w:t>2024/25</w:t>
      </w:r>
      <w:r w:rsidRPr="00B81CD9">
        <w:rPr>
          <w:rFonts w:cs="Arial"/>
          <w:color w:val="000000" w:themeColor="text1"/>
        </w:rPr>
        <w:t xml:space="preserve"> and no incidents have been reported under the Anti- Bribery and Corruption Policy and the Anti-Money Laundering Policy.</w:t>
      </w:r>
    </w:p>
    <w:p w14:paraId="3B05DF62" w14:textId="6889BE1C" w:rsidR="00AF29F4" w:rsidRPr="00B81CD9" w:rsidRDefault="00E05F9A">
      <w:pPr>
        <w:pStyle w:val="ListParagraph"/>
        <w:numPr>
          <w:ilvl w:val="1"/>
          <w:numId w:val="4"/>
        </w:numPr>
        <w:snapToGrid w:val="0"/>
        <w:spacing w:before="240" w:line="312" w:lineRule="auto"/>
        <w:ind w:left="709" w:hanging="709"/>
        <w:contextualSpacing w:val="0"/>
        <w:jc w:val="left"/>
        <w:rPr>
          <w:rFonts w:cs="Arial"/>
          <w:i/>
          <w:iCs/>
          <w:color w:val="000000" w:themeColor="text1"/>
          <w:szCs w:val="22"/>
        </w:rPr>
      </w:pPr>
      <w:r w:rsidRPr="00B81CD9">
        <w:rPr>
          <w:rFonts w:cs="Arial"/>
          <w:i/>
          <w:iCs/>
          <w:color w:val="000000" w:themeColor="text1"/>
          <w:szCs w:val="22"/>
        </w:rPr>
        <w:t xml:space="preserve">Registration with the </w:t>
      </w:r>
      <w:r w:rsidR="0033115F" w:rsidRPr="00B81CD9">
        <w:rPr>
          <w:rFonts w:cs="Arial"/>
          <w:i/>
          <w:iCs/>
          <w:color w:val="000000" w:themeColor="text1"/>
          <w:szCs w:val="22"/>
        </w:rPr>
        <w:t>Office for Students’</w:t>
      </w:r>
      <w:r w:rsidR="00AF29F4" w:rsidRPr="00B81CD9">
        <w:rPr>
          <w:rFonts w:cs="Arial"/>
          <w:i/>
          <w:iCs/>
          <w:color w:val="000000" w:themeColor="text1"/>
          <w:szCs w:val="22"/>
        </w:rPr>
        <w:t xml:space="preserve"> </w:t>
      </w:r>
    </w:p>
    <w:p w14:paraId="40229297" w14:textId="5831A36E" w:rsidR="003974DC" w:rsidRPr="00B81CD9" w:rsidRDefault="003974DC">
      <w:pPr>
        <w:pStyle w:val="ListParagraph"/>
        <w:numPr>
          <w:ilvl w:val="1"/>
          <w:numId w:val="4"/>
        </w:numPr>
        <w:snapToGrid w:val="0"/>
        <w:spacing w:before="240" w:line="312" w:lineRule="auto"/>
        <w:ind w:left="709" w:hanging="709"/>
        <w:contextualSpacing w:val="0"/>
        <w:jc w:val="left"/>
        <w:rPr>
          <w:rFonts w:cs="Arial"/>
          <w:color w:val="000000" w:themeColor="text1"/>
        </w:rPr>
      </w:pPr>
      <w:r w:rsidRPr="00B81CD9">
        <w:rPr>
          <w:color w:val="000000" w:themeColor="text1"/>
        </w:rPr>
        <w:t>As part of its role in ensuring robust internal controls are in place to secure legal and regulatory compliance, the Board annually considers an assessment from the University Secretary of the University’s compliance with the Office for Students’ Ongoing Conditions of Registration.  The report was last considered by</w:t>
      </w:r>
      <w:r w:rsidR="00AD1EEA" w:rsidRPr="00B81CD9">
        <w:rPr>
          <w:color w:val="000000" w:themeColor="text1"/>
        </w:rPr>
        <w:t xml:space="preserve"> </w:t>
      </w:r>
      <w:r w:rsidR="002E4A39" w:rsidRPr="00B81CD9">
        <w:rPr>
          <w:color w:val="000000" w:themeColor="text1"/>
        </w:rPr>
        <w:t>the Audit and Risk Committee in May 2025</w:t>
      </w:r>
      <w:r w:rsidR="00AD1EEA" w:rsidRPr="00B81CD9">
        <w:rPr>
          <w:color w:val="000000" w:themeColor="text1"/>
        </w:rPr>
        <w:t xml:space="preserve"> and </w:t>
      </w:r>
      <w:r w:rsidR="002E4A39" w:rsidRPr="00B81CD9">
        <w:rPr>
          <w:color w:val="000000" w:themeColor="text1"/>
        </w:rPr>
        <w:t>considered by the Board at its 26</w:t>
      </w:r>
      <w:r w:rsidR="002E4A39" w:rsidRPr="00B81CD9">
        <w:rPr>
          <w:color w:val="000000" w:themeColor="text1"/>
          <w:vertAlign w:val="superscript"/>
        </w:rPr>
        <w:t>th</w:t>
      </w:r>
      <w:r w:rsidR="002E4A39" w:rsidRPr="00B81CD9">
        <w:rPr>
          <w:color w:val="000000" w:themeColor="text1"/>
        </w:rPr>
        <w:t xml:space="preserve"> June 2025 meeting.</w:t>
      </w:r>
    </w:p>
    <w:p w14:paraId="0F37780B" w14:textId="77777777" w:rsidR="00C24B9C" w:rsidRPr="00B81CD9" w:rsidRDefault="00C24B9C" w:rsidP="00244266">
      <w:pPr>
        <w:shd w:val="clear" w:color="auto" w:fill="auto"/>
        <w:spacing w:line="240" w:lineRule="auto"/>
        <w:jc w:val="left"/>
        <w:rPr>
          <w:rFonts w:cs="Arial"/>
          <w:i/>
          <w:iCs/>
          <w:color w:val="000000" w:themeColor="text1"/>
          <w:szCs w:val="22"/>
        </w:rPr>
      </w:pPr>
    </w:p>
    <w:p w14:paraId="07EC1B82" w14:textId="316658B7" w:rsidR="004F2702" w:rsidRPr="00B81CD9" w:rsidRDefault="004F2702" w:rsidP="00244266">
      <w:pPr>
        <w:shd w:val="clear" w:color="auto" w:fill="auto"/>
        <w:spacing w:line="240" w:lineRule="auto"/>
        <w:jc w:val="left"/>
        <w:rPr>
          <w:rFonts w:cs="Arial"/>
          <w:i/>
          <w:iCs/>
          <w:color w:val="000000" w:themeColor="text1"/>
          <w:szCs w:val="22"/>
        </w:rPr>
      </w:pPr>
      <w:r w:rsidRPr="00B81CD9">
        <w:rPr>
          <w:rFonts w:cs="Arial"/>
          <w:i/>
          <w:iCs/>
          <w:color w:val="000000" w:themeColor="text1"/>
          <w:szCs w:val="22"/>
        </w:rPr>
        <w:t>Annual Report on Declarations of</w:t>
      </w:r>
      <w:r w:rsidR="00DB03A4" w:rsidRPr="00B81CD9">
        <w:rPr>
          <w:rFonts w:cs="Arial"/>
          <w:i/>
          <w:iCs/>
          <w:color w:val="000000" w:themeColor="text1"/>
          <w:szCs w:val="22"/>
        </w:rPr>
        <w:t xml:space="preserve"> Interest and Governors’ Charity T</w:t>
      </w:r>
      <w:r w:rsidRPr="00B81CD9">
        <w:rPr>
          <w:rFonts w:cs="Arial"/>
          <w:i/>
          <w:iCs/>
          <w:color w:val="000000" w:themeColor="text1"/>
          <w:szCs w:val="22"/>
        </w:rPr>
        <w:t>rusteeships</w:t>
      </w:r>
    </w:p>
    <w:p w14:paraId="5FB2DAD5" w14:textId="35E4912F" w:rsidR="00237D69" w:rsidRPr="00B81CD9" w:rsidRDefault="254A9DA0">
      <w:pPr>
        <w:pStyle w:val="ListParagraph"/>
        <w:numPr>
          <w:ilvl w:val="1"/>
          <w:numId w:val="4"/>
        </w:numPr>
        <w:shd w:val="clear" w:color="auto" w:fill="auto"/>
        <w:snapToGrid w:val="0"/>
        <w:spacing w:before="240" w:after="200" w:line="312" w:lineRule="auto"/>
        <w:ind w:left="709" w:hanging="709"/>
        <w:contextualSpacing w:val="0"/>
        <w:jc w:val="left"/>
        <w:rPr>
          <w:rFonts w:cs="Arial"/>
          <w:i/>
          <w:iCs/>
          <w:color w:val="000000" w:themeColor="text1"/>
        </w:rPr>
      </w:pPr>
      <w:r w:rsidRPr="00B81CD9">
        <w:rPr>
          <w:rFonts w:cs="Arial"/>
          <w:color w:val="000000" w:themeColor="text1"/>
        </w:rPr>
        <w:t>The Committee receiv</w:t>
      </w:r>
      <w:r w:rsidR="00D81A6B" w:rsidRPr="00B81CD9">
        <w:rPr>
          <w:rFonts w:cs="Arial"/>
          <w:color w:val="000000" w:themeColor="text1"/>
        </w:rPr>
        <w:t xml:space="preserve">ed a report at its February </w:t>
      </w:r>
      <w:r w:rsidR="002E4A39" w:rsidRPr="00B81CD9">
        <w:rPr>
          <w:rFonts w:cs="Arial"/>
          <w:color w:val="000000" w:themeColor="text1"/>
        </w:rPr>
        <w:t>2025</w:t>
      </w:r>
      <w:r w:rsidRPr="00B81CD9">
        <w:rPr>
          <w:rFonts w:cs="Arial"/>
          <w:color w:val="000000" w:themeColor="text1"/>
        </w:rPr>
        <w:t xml:space="preserve"> meeting from the </w:t>
      </w:r>
      <w:r w:rsidR="001B323C" w:rsidRPr="00B81CD9">
        <w:rPr>
          <w:rFonts w:cs="Arial"/>
          <w:color w:val="000000" w:themeColor="text1"/>
        </w:rPr>
        <w:t>University Secretary</w:t>
      </w:r>
      <w:r w:rsidRPr="00B81CD9">
        <w:rPr>
          <w:rFonts w:cs="Arial"/>
          <w:color w:val="000000" w:themeColor="text1"/>
        </w:rPr>
        <w:t xml:space="preserve"> on the University’s processes for maintaining a register of interests for the Board, Board committees and the executive, and updating the online list of Governors’ other charity tr</w:t>
      </w:r>
      <w:r w:rsidR="00D81A6B" w:rsidRPr="00B81CD9">
        <w:rPr>
          <w:rFonts w:cs="Arial"/>
          <w:color w:val="000000" w:themeColor="text1"/>
        </w:rPr>
        <w:t>usteeships as required by the Off</w:t>
      </w:r>
      <w:r w:rsidRPr="00B81CD9">
        <w:rPr>
          <w:rFonts w:cs="Arial"/>
          <w:color w:val="000000" w:themeColor="text1"/>
        </w:rPr>
        <w:t>ic</w:t>
      </w:r>
      <w:r w:rsidR="00D81A6B" w:rsidRPr="00B81CD9">
        <w:rPr>
          <w:rFonts w:cs="Arial"/>
          <w:color w:val="000000" w:themeColor="text1"/>
        </w:rPr>
        <w:t>e for Students</w:t>
      </w:r>
      <w:r w:rsidR="00E05F9A" w:rsidRPr="00B81CD9">
        <w:rPr>
          <w:rFonts w:cs="Arial"/>
          <w:color w:val="000000" w:themeColor="text1"/>
        </w:rPr>
        <w:t>.</w:t>
      </w:r>
    </w:p>
    <w:p w14:paraId="68140A0C" w14:textId="6B8207DA" w:rsidR="00292F4A" w:rsidRPr="00B81CD9" w:rsidRDefault="00292F4A" w:rsidP="00237D69">
      <w:pPr>
        <w:shd w:val="clear" w:color="auto" w:fill="auto"/>
        <w:snapToGrid w:val="0"/>
        <w:spacing w:before="240" w:after="200" w:line="312" w:lineRule="auto"/>
        <w:jc w:val="left"/>
        <w:rPr>
          <w:rFonts w:cs="Arial"/>
          <w:i/>
          <w:iCs/>
          <w:color w:val="000000" w:themeColor="text1"/>
          <w:szCs w:val="22"/>
        </w:rPr>
      </w:pPr>
      <w:r w:rsidRPr="00B81CD9">
        <w:rPr>
          <w:rFonts w:cs="Arial"/>
          <w:i/>
          <w:iCs/>
          <w:color w:val="000000" w:themeColor="text1"/>
          <w:szCs w:val="22"/>
        </w:rPr>
        <w:t xml:space="preserve">Health and Safety </w:t>
      </w:r>
    </w:p>
    <w:p w14:paraId="7A2DF833" w14:textId="30BD6CA6" w:rsidR="001E5E61" w:rsidRPr="00B81CD9" w:rsidRDefault="00E05F9A">
      <w:pPr>
        <w:pStyle w:val="ListParagraph"/>
        <w:numPr>
          <w:ilvl w:val="1"/>
          <w:numId w:val="4"/>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In </w:t>
      </w:r>
      <w:r w:rsidR="002E4A39" w:rsidRPr="00B81CD9">
        <w:rPr>
          <w:rFonts w:cs="Arial"/>
          <w:color w:val="000000" w:themeColor="text1"/>
        </w:rPr>
        <w:t>2024/25</w:t>
      </w:r>
      <w:r w:rsidRPr="00B81CD9">
        <w:rPr>
          <w:rFonts w:cs="Arial"/>
          <w:color w:val="000000" w:themeColor="text1"/>
        </w:rPr>
        <w:t xml:space="preserve"> </w:t>
      </w:r>
      <w:r w:rsidR="254A9DA0" w:rsidRPr="00B81CD9">
        <w:rPr>
          <w:rFonts w:cs="Arial"/>
          <w:color w:val="000000" w:themeColor="text1"/>
        </w:rPr>
        <w:t xml:space="preserve">the Audit </w:t>
      </w:r>
      <w:r w:rsidR="001B323C" w:rsidRPr="00B81CD9">
        <w:rPr>
          <w:rFonts w:cs="Arial"/>
          <w:color w:val="000000" w:themeColor="text1"/>
        </w:rPr>
        <w:t xml:space="preserve">and Risk </w:t>
      </w:r>
      <w:r w:rsidR="254A9DA0" w:rsidRPr="00B81CD9">
        <w:rPr>
          <w:rFonts w:cs="Arial"/>
          <w:color w:val="000000" w:themeColor="text1"/>
        </w:rPr>
        <w:t xml:space="preserve">Committee received quarterly reports </w:t>
      </w:r>
      <w:r w:rsidR="00885FE2" w:rsidRPr="00B81CD9">
        <w:rPr>
          <w:rFonts w:cs="Arial"/>
          <w:color w:val="000000" w:themeColor="text1"/>
        </w:rPr>
        <w:t xml:space="preserve">on health and safety compliance, </w:t>
      </w:r>
      <w:r w:rsidR="254A9DA0" w:rsidRPr="00B81CD9">
        <w:rPr>
          <w:rFonts w:cs="Arial"/>
          <w:color w:val="000000" w:themeColor="text1"/>
        </w:rPr>
        <w:t>which included matters discussed at the Health and Safety Committee (a committee of management and trade union representatives, responsible for the implementation of the University’s Health and Safety Strategy).</w:t>
      </w:r>
      <w:r w:rsidR="00A71397" w:rsidRPr="00B81CD9">
        <w:rPr>
          <w:rFonts w:cs="Arial"/>
          <w:color w:val="000000" w:themeColor="text1"/>
        </w:rPr>
        <w:t xml:space="preserve"> The Audit </w:t>
      </w:r>
      <w:r w:rsidR="001B323C" w:rsidRPr="00B81CD9">
        <w:rPr>
          <w:rFonts w:cs="Arial"/>
          <w:color w:val="000000" w:themeColor="text1"/>
        </w:rPr>
        <w:t xml:space="preserve">and Risk </w:t>
      </w:r>
      <w:r w:rsidR="00A71397" w:rsidRPr="00B81CD9">
        <w:rPr>
          <w:rFonts w:cs="Arial"/>
          <w:color w:val="000000" w:themeColor="text1"/>
        </w:rPr>
        <w:t xml:space="preserve">Committee considered an annual Health and Safety report at its September </w:t>
      </w:r>
      <w:r w:rsidR="002E4A39" w:rsidRPr="00B81CD9">
        <w:rPr>
          <w:rFonts w:cs="Arial"/>
          <w:color w:val="000000" w:themeColor="text1"/>
        </w:rPr>
        <w:t>2025</w:t>
      </w:r>
      <w:r w:rsidR="00A71397" w:rsidRPr="00B81CD9">
        <w:rPr>
          <w:rFonts w:cs="Arial"/>
          <w:color w:val="000000" w:themeColor="text1"/>
        </w:rPr>
        <w:t xml:space="preserve"> meeting.</w:t>
      </w:r>
      <w:r w:rsidR="00BF0879" w:rsidRPr="00B81CD9">
        <w:rPr>
          <w:rFonts w:cs="Arial"/>
          <w:color w:val="000000" w:themeColor="text1"/>
        </w:rPr>
        <w:t xml:space="preserve"> Health and Safety formed part of the Internal Audit plan in 2024/25, the report received a moderate assurance rating.</w:t>
      </w:r>
    </w:p>
    <w:p w14:paraId="79C6CC8F" w14:textId="77777777" w:rsidR="00475CE2" w:rsidRPr="00B81CD9" w:rsidRDefault="00475CE2">
      <w:pPr>
        <w:shd w:val="clear" w:color="auto" w:fill="auto"/>
        <w:spacing w:line="240" w:lineRule="auto"/>
        <w:jc w:val="left"/>
        <w:rPr>
          <w:bCs/>
          <w:i/>
          <w:color w:val="000000" w:themeColor="text1"/>
        </w:rPr>
      </w:pPr>
    </w:p>
    <w:p w14:paraId="5A4ACBEC" w14:textId="67861327" w:rsidR="00FF5220" w:rsidRPr="00B81CD9" w:rsidRDefault="00475437">
      <w:pPr>
        <w:shd w:val="clear" w:color="auto" w:fill="auto"/>
        <w:spacing w:line="240" w:lineRule="auto"/>
        <w:jc w:val="left"/>
        <w:rPr>
          <w:bCs/>
          <w:i/>
          <w:color w:val="000000" w:themeColor="text1"/>
        </w:rPr>
      </w:pPr>
      <w:r w:rsidRPr="00B81CD9">
        <w:rPr>
          <w:bCs/>
          <w:i/>
          <w:color w:val="000000" w:themeColor="text1"/>
        </w:rPr>
        <w:t>UKVI</w:t>
      </w:r>
    </w:p>
    <w:p w14:paraId="371E48B2" w14:textId="68487379" w:rsidR="00A640C4" w:rsidRPr="00B81CD9" w:rsidRDefault="00766224">
      <w:pPr>
        <w:pStyle w:val="ListParagraph"/>
        <w:numPr>
          <w:ilvl w:val="1"/>
          <w:numId w:val="4"/>
        </w:numPr>
        <w:shd w:val="clear" w:color="auto" w:fill="auto"/>
        <w:snapToGrid w:val="0"/>
        <w:spacing w:before="240" w:line="312" w:lineRule="auto"/>
        <w:ind w:left="709" w:hanging="709"/>
        <w:contextualSpacing w:val="0"/>
        <w:jc w:val="left"/>
        <w:rPr>
          <w:b/>
          <w:bCs/>
          <w:color w:val="000000" w:themeColor="text1"/>
        </w:rPr>
      </w:pPr>
      <w:r w:rsidRPr="00B81CD9">
        <w:rPr>
          <w:rFonts w:asciiTheme="minorBidi" w:hAnsiTheme="minorBidi" w:cstheme="minorBidi"/>
          <w:color w:val="000000" w:themeColor="text1"/>
          <w:lang w:bidi="en-US"/>
        </w:rPr>
        <w:t xml:space="preserve">The </w:t>
      </w:r>
      <w:r w:rsidR="005D47D7" w:rsidRPr="00B81CD9">
        <w:rPr>
          <w:rFonts w:asciiTheme="minorBidi" w:hAnsiTheme="minorBidi" w:cstheme="minorBidi"/>
          <w:color w:val="000000" w:themeColor="text1"/>
          <w:lang w:bidi="en-US"/>
        </w:rPr>
        <w:t xml:space="preserve">November </w:t>
      </w:r>
      <w:r w:rsidR="002E4A39" w:rsidRPr="00B81CD9">
        <w:rPr>
          <w:rFonts w:asciiTheme="minorBidi" w:hAnsiTheme="minorBidi" w:cstheme="minorBidi"/>
          <w:color w:val="000000" w:themeColor="text1"/>
          <w:lang w:bidi="en-US"/>
        </w:rPr>
        <w:t>2024</w:t>
      </w:r>
      <w:r w:rsidR="001B323C" w:rsidRPr="00B81CD9">
        <w:rPr>
          <w:rFonts w:asciiTheme="minorBidi" w:hAnsiTheme="minorBidi" w:cstheme="minorBidi"/>
          <w:color w:val="000000" w:themeColor="text1"/>
          <w:lang w:bidi="en-US"/>
        </w:rPr>
        <w:t xml:space="preserve">, </w:t>
      </w:r>
      <w:r w:rsidR="00AD1EEA" w:rsidRPr="00B81CD9">
        <w:rPr>
          <w:rFonts w:asciiTheme="minorBidi" w:hAnsiTheme="minorBidi" w:cstheme="minorBidi"/>
          <w:color w:val="000000" w:themeColor="text1"/>
          <w:lang w:bidi="en-US"/>
        </w:rPr>
        <w:t>and</w:t>
      </w:r>
      <w:r w:rsidR="004333FF" w:rsidRPr="00B81CD9">
        <w:rPr>
          <w:rFonts w:asciiTheme="minorBidi" w:hAnsiTheme="minorBidi" w:cstheme="minorBidi"/>
          <w:color w:val="000000" w:themeColor="text1"/>
          <w:lang w:bidi="en-US"/>
        </w:rPr>
        <w:t xml:space="preserve"> November </w:t>
      </w:r>
      <w:r w:rsidR="002E4A39" w:rsidRPr="00B81CD9">
        <w:rPr>
          <w:rFonts w:asciiTheme="minorBidi" w:hAnsiTheme="minorBidi" w:cstheme="minorBidi"/>
          <w:color w:val="000000" w:themeColor="text1"/>
          <w:lang w:bidi="en-US"/>
        </w:rPr>
        <w:t>2025</w:t>
      </w:r>
      <w:r w:rsidR="004333FF" w:rsidRPr="00B81CD9">
        <w:rPr>
          <w:rFonts w:asciiTheme="minorBidi" w:hAnsiTheme="minorBidi" w:cstheme="minorBidi"/>
          <w:color w:val="000000" w:themeColor="text1"/>
          <w:lang w:bidi="en-US"/>
        </w:rPr>
        <w:t xml:space="preserve"> the</w:t>
      </w:r>
      <w:r w:rsidRPr="00B81CD9">
        <w:rPr>
          <w:rFonts w:asciiTheme="minorBidi" w:hAnsiTheme="minorBidi" w:cstheme="minorBidi"/>
          <w:color w:val="000000" w:themeColor="text1"/>
          <w:lang w:bidi="en-US"/>
        </w:rPr>
        <w:t xml:space="preserve"> </w:t>
      </w:r>
      <w:r w:rsidR="254A9DA0" w:rsidRPr="00B81CD9">
        <w:rPr>
          <w:rFonts w:asciiTheme="minorBidi" w:hAnsiTheme="minorBidi" w:cstheme="minorBidi"/>
          <w:color w:val="000000" w:themeColor="text1"/>
          <w:lang w:bidi="en-US"/>
        </w:rPr>
        <w:t xml:space="preserve">Audit </w:t>
      </w:r>
      <w:r w:rsidR="001B323C" w:rsidRPr="00B81CD9">
        <w:rPr>
          <w:rFonts w:asciiTheme="minorBidi" w:hAnsiTheme="minorBidi" w:cstheme="minorBidi"/>
          <w:color w:val="000000" w:themeColor="text1"/>
          <w:lang w:bidi="en-US"/>
        </w:rPr>
        <w:t xml:space="preserve">and Risk </w:t>
      </w:r>
      <w:r w:rsidR="254A9DA0" w:rsidRPr="00B81CD9">
        <w:rPr>
          <w:rFonts w:asciiTheme="minorBidi" w:hAnsiTheme="minorBidi" w:cstheme="minorBidi"/>
          <w:color w:val="000000" w:themeColor="text1"/>
          <w:lang w:bidi="en-US"/>
        </w:rPr>
        <w:t>Committee considered correspondence with UK Visas and Immigration and noted UKVI’s decision that the University had met all of the core requirements to have passed the Basic Compliance Assessment (BCA) and had retained Tier 4 Sponsor status.</w:t>
      </w:r>
      <w:r w:rsidR="254A9DA0" w:rsidRPr="00B81CD9">
        <w:rPr>
          <w:rFonts w:asciiTheme="minorBidi" w:eastAsia="PMingLiU" w:hAnsiTheme="minorBidi" w:cstheme="minorBidi"/>
          <w:color w:val="000000" w:themeColor="text1"/>
          <w:lang w:eastAsia="zh-TW"/>
        </w:rPr>
        <w:t xml:space="preserve"> </w:t>
      </w:r>
    </w:p>
    <w:p w14:paraId="05F789B1" w14:textId="77777777" w:rsidR="00BA16D6" w:rsidRPr="00B81CD9" w:rsidRDefault="00BA16D6" w:rsidP="00BA16D6">
      <w:pPr>
        <w:pStyle w:val="ListParagraph"/>
        <w:shd w:val="clear" w:color="auto" w:fill="auto"/>
        <w:snapToGrid w:val="0"/>
        <w:spacing w:before="240" w:line="312" w:lineRule="auto"/>
        <w:ind w:left="709"/>
        <w:contextualSpacing w:val="0"/>
        <w:jc w:val="left"/>
        <w:rPr>
          <w:b/>
          <w:bCs/>
          <w:color w:val="000000" w:themeColor="text1"/>
        </w:rPr>
      </w:pPr>
    </w:p>
    <w:p w14:paraId="3BCD0423" w14:textId="132E627D" w:rsidR="00BD5142" w:rsidRPr="00B81CD9" w:rsidRDefault="00240B16">
      <w:pPr>
        <w:pStyle w:val="ListParagraph"/>
        <w:numPr>
          <w:ilvl w:val="0"/>
          <w:numId w:val="4"/>
        </w:numPr>
        <w:tabs>
          <w:tab w:val="left" w:pos="720"/>
          <w:tab w:val="left" w:pos="1440"/>
          <w:tab w:val="left" w:pos="2160"/>
          <w:tab w:val="left" w:pos="2880"/>
          <w:tab w:val="left" w:pos="3600"/>
          <w:tab w:val="left" w:pos="4320"/>
          <w:tab w:val="left" w:pos="5040"/>
          <w:tab w:val="left" w:pos="5688"/>
        </w:tabs>
        <w:snapToGrid w:val="0"/>
        <w:spacing w:before="240" w:line="312" w:lineRule="auto"/>
        <w:jc w:val="left"/>
        <w:rPr>
          <w:b/>
          <w:color w:val="000000" w:themeColor="text1"/>
        </w:rPr>
      </w:pPr>
      <w:r w:rsidRPr="00B81CD9">
        <w:rPr>
          <w:b/>
          <w:color w:val="000000" w:themeColor="text1"/>
        </w:rPr>
        <w:t>Risk Management, Control and Governance</w:t>
      </w:r>
      <w:r w:rsidR="00475CE2" w:rsidRPr="00B81CD9">
        <w:rPr>
          <w:b/>
          <w:bCs/>
          <w:color w:val="000000" w:themeColor="text1"/>
        </w:rPr>
        <w:tab/>
      </w:r>
    </w:p>
    <w:p w14:paraId="28D4253E" w14:textId="77777777" w:rsidR="00475CE2" w:rsidRPr="00B81CD9" w:rsidRDefault="00475CE2" w:rsidP="00B24EFB">
      <w:pPr>
        <w:pStyle w:val="ListParagraph"/>
        <w:tabs>
          <w:tab w:val="left" w:pos="720"/>
          <w:tab w:val="left" w:pos="1440"/>
          <w:tab w:val="left" w:pos="2160"/>
          <w:tab w:val="left" w:pos="2880"/>
          <w:tab w:val="left" w:pos="3600"/>
          <w:tab w:val="left" w:pos="4320"/>
          <w:tab w:val="left" w:pos="5040"/>
          <w:tab w:val="left" w:pos="5688"/>
        </w:tabs>
        <w:snapToGrid w:val="0"/>
        <w:spacing w:before="240" w:line="312" w:lineRule="auto"/>
        <w:ind w:left="420"/>
        <w:jc w:val="left"/>
        <w:rPr>
          <w:b/>
          <w:bCs/>
          <w:color w:val="000000" w:themeColor="text1"/>
        </w:rPr>
      </w:pPr>
    </w:p>
    <w:p w14:paraId="7ED31679" w14:textId="77777777" w:rsidR="00B25029" w:rsidRPr="00B81CD9" w:rsidRDefault="00B25029">
      <w:pPr>
        <w:pStyle w:val="ListParagraph"/>
        <w:numPr>
          <w:ilvl w:val="0"/>
          <w:numId w:val="3"/>
        </w:numPr>
        <w:snapToGrid w:val="0"/>
        <w:spacing w:before="240" w:line="312" w:lineRule="auto"/>
        <w:jc w:val="left"/>
        <w:rPr>
          <w:rFonts w:cs="Arial"/>
          <w:vanish/>
          <w:color w:val="000000" w:themeColor="text1"/>
        </w:rPr>
      </w:pPr>
    </w:p>
    <w:p w14:paraId="67159156" w14:textId="77777777" w:rsidR="00B25029" w:rsidRPr="00B81CD9" w:rsidRDefault="00B25029">
      <w:pPr>
        <w:pStyle w:val="ListParagraph"/>
        <w:numPr>
          <w:ilvl w:val="0"/>
          <w:numId w:val="3"/>
        </w:numPr>
        <w:snapToGrid w:val="0"/>
        <w:spacing w:before="240" w:line="312" w:lineRule="auto"/>
        <w:jc w:val="left"/>
        <w:rPr>
          <w:rFonts w:cs="Arial"/>
          <w:vanish/>
          <w:color w:val="000000" w:themeColor="text1"/>
        </w:rPr>
      </w:pPr>
    </w:p>
    <w:p w14:paraId="51BE216E" w14:textId="77777777" w:rsidR="00B25029" w:rsidRPr="00B81CD9" w:rsidRDefault="00B25029">
      <w:pPr>
        <w:pStyle w:val="ListParagraph"/>
        <w:numPr>
          <w:ilvl w:val="0"/>
          <w:numId w:val="3"/>
        </w:numPr>
        <w:snapToGrid w:val="0"/>
        <w:spacing w:before="240" w:line="312" w:lineRule="auto"/>
        <w:jc w:val="left"/>
        <w:rPr>
          <w:rFonts w:cs="Arial"/>
          <w:vanish/>
          <w:color w:val="000000" w:themeColor="text1"/>
        </w:rPr>
      </w:pPr>
    </w:p>
    <w:p w14:paraId="2D5D2152" w14:textId="31522C69" w:rsidR="00B72A7E" w:rsidRPr="00B81CD9" w:rsidRDefault="254A9DA0">
      <w:pPr>
        <w:pStyle w:val="ListParagraph"/>
        <w:numPr>
          <w:ilvl w:val="1"/>
          <w:numId w:val="3"/>
        </w:numPr>
        <w:snapToGrid w:val="0"/>
        <w:spacing w:before="240" w:line="312" w:lineRule="auto"/>
        <w:ind w:left="709" w:hanging="709"/>
        <w:jc w:val="left"/>
        <w:rPr>
          <w:rFonts w:cs="Arial"/>
          <w:color w:val="000000" w:themeColor="text1"/>
          <w:lang w:val="en-GB"/>
        </w:rPr>
      </w:pPr>
      <w:r w:rsidRPr="00B81CD9">
        <w:rPr>
          <w:rFonts w:cs="Arial"/>
          <w:color w:val="000000" w:themeColor="text1"/>
        </w:rPr>
        <w:t xml:space="preserve">The purpose of this Annual Report is to set out the Audit </w:t>
      </w:r>
      <w:r w:rsidR="001B323C" w:rsidRPr="00B81CD9">
        <w:rPr>
          <w:rFonts w:cs="Arial"/>
          <w:color w:val="000000" w:themeColor="text1"/>
        </w:rPr>
        <w:t xml:space="preserve">and Risk </w:t>
      </w:r>
      <w:r w:rsidRPr="00B81CD9">
        <w:rPr>
          <w:rFonts w:cs="Arial"/>
          <w:color w:val="000000" w:themeColor="text1"/>
        </w:rPr>
        <w:t>Committee’s opinion on the adequacy and effectiveness of the University’s arran</w:t>
      </w:r>
      <w:r w:rsidR="00EC6AF6" w:rsidRPr="00B81CD9">
        <w:rPr>
          <w:rFonts w:cs="Arial"/>
          <w:color w:val="000000" w:themeColor="text1"/>
        </w:rPr>
        <w:t xml:space="preserve">gements in </w:t>
      </w:r>
      <w:r w:rsidR="0007393A" w:rsidRPr="00B81CD9">
        <w:rPr>
          <w:rFonts w:cs="Arial"/>
          <w:color w:val="000000" w:themeColor="text1"/>
        </w:rPr>
        <w:t xml:space="preserve">2024/25  </w:t>
      </w:r>
      <w:r w:rsidRPr="00B81CD9">
        <w:rPr>
          <w:rFonts w:cs="Arial"/>
          <w:color w:val="000000" w:themeColor="text1"/>
        </w:rPr>
        <w:t xml:space="preserve">as </w:t>
      </w:r>
      <w:r w:rsidR="004E0626" w:rsidRPr="00B81CD9">
        <w:rPr>
          <w:rFonts w:cs="Arial"/>
          <w:color w:val="000000" w:themeColor="text1"/>
        </w:rPr>
        <w:t xml:space="preserve">detailed </w:t>
      </w:r>
      <w:r w:rsidRPr="00B81CD9">
        <w:rPr>
          <w:rFonts w:cs="Arial"/>
          <w:color w:val="000000" w:themeColor="text1"/>
        </w:rPr>
        <w:t>in the introduction to this report.</w:t>
      </w:r>
    </w:p>
    <w:p w14:paraId="68D4104B" w14:textId="25143811" w:rsidR="00B72A7E" w:rsidRPr="00B81CD9" w:rsidRDefault="254A9DA0">
      <w:pPr>
        <w:pStyle w:val="ListParagraph"/>
        <w:numPr>
          <w:ilvl w:val="1"/>
          <w:numId w:val="3"/>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The Committee has concluded its opinion as a result of its own work during the year, as described above, and information and assurances it has received from other sources, in particular, the internal audit provider (</w:t>
      </w:r>
      <w:r w:rsidR="00EC6AF6" w:rsidRPr="00B81CD9">
        <w:rPr>
          <w:rFonts w:cs="Arial"/>
          <w:color w:val="000000" w:themeColor="text1"/>
        </w:rPr>
        <w:t>Deloitte</w:t>
      </w:r>
      <w:r w:rsidRPr="00B81CD9">
        <w:rPr>
          <w:rFonts w:cs="Arial"/>
          <w:color w:val="000000" w:themeColor="text1"/>
        </w:rPr>
        <w:t>).</w:t>
      </w:r>
    </w:p>
    <w:p w14:paraId="2A81EE5B" w14:textId="2F73CEC5" w:rsidR="00485C4A" w:rsidRPr="00B81CD9" w:rsidRDefault="254A9DA0">
      <w:pPr>
        <w:pStyle w:val="ListParagraph"/>
        <w:numPr>
          <w:ilvl w:val="1"/>
          <w:numId w:val="3"/>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The internal auditor also provides its own opinion on the adequacy and effectiveness of the University’s overall system of risk management, internal control and governance, through its Internal Audit Annual Report.</w:t>
      </w:r>
    </w:p>
    <w:p w14:paraId="17925F8D" w14:textId="494094B1" w:rsidR="00542DAA" w:rsidRPr="00B81CD9" w:rsidRDefault="008211FC">
      <w:pPr>
        <w:pStyle w:val="ListParagraph"/>
        <w:numPr>
          <w:ilvl w:val="1"/>
          <w:numId w:val="3"/>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At the </w:t>
      </w:r>
      <w:r w:rsidR="004333FF" w:rsidRPr="00B81CD9">
        <w:rPr>
          <w:rFonts w:cs="Arial"/>
          <w:color w:val="000000" w:themeColor="text1"/>
        </w:rPr>
        <w:t>2</w:t>
      </w:r>
      <w:r w:rsidR="0007393A" w:rsidRPr="00B81CD9">
        <w:rPr>
          <w:rFonts w:cs="Arial"/>
          <w:color w:val="000000" w:themeColor="text1"/>
        </w:rPr>
        <w:t>5</w:t>
      </w:r>
      <w:r w:rsidRPr="00B81CD9">
        <w:rPr>
          <w:rFonts w:cs="Arial"/>
          <w:color w:val="000000" w:themeColor="text1"/>
        </w:rPr>
        <w:t xml:space="preserve"> September </w:t>
      </w:r>
      <w:r w:rsidR="00BA16D6" w:rsidRPr="00B81CD9">
        <w:rPr>
          <w:rFonts w:cs="Arial"/>
          <w:color w:val="000000" w:themeColor="text1"/>
        </w:rPr>
        <w:t>202</w:t>
      </w:r>
      <w:r w:rsidR="0007393A" w:rsidRPr="00B81CD9">
        <w:rPr>
          <w:rFonts w:cs="Arial"/>
          <w:color w:val="000000" w:themeColor="text1"/>
        </w:rPr>
        <w:t>5</w:t>
      </w:r>
      <w:r w:rsidR="254A9DA0" w:rsidRPr="00B81CD9">
        <w:rPr>
          <w:rFonts w:cs="Arial"/>
          <w:color w:val="000000" w:themeColor="text1"/>
        </w:rPr>
        <w:t xml:space="preserve"> Audit </w:t>
      </w:r>
      <w:r w:rsidR="0007393A" w:rsidRPr="00B81CD9">
        <w:rPr>
          <w:rFonts w:cs="Arial"/>
          <w:color w:val="000000" w:themeColor="text1"/>
        </w:rPr>
        <w:t xml:space="preserve">and Risk </w:t>
      </w:r>
      <w:r w:rsidR="254A9DA0" w:rsidRPr="00B81CD9">
        <w:rPr>
          <w:rFonts w:cs="Arial"/>
          <w:color w:val="000000" w:themeColor="text1"/>
        </w:rPr>
        <w:t>Committee meetin</w:t>
      </w:r>
      <w:r w:rsidR="00EC6AF6" w:rsidRPr="00B81CD9">
        <w:rPr>
          <w:rFonts w:cs="Arial"/>
          <w:color w:val="000000" w:themeColor="text1"/>
        </w:rPr>
        <w:t xml:space="preserve">g, </w:t>
      </w:r>
      <w:r w:rsidR="001C290C" w:rsidRPr="00B81CD9">
        <w:rPr>
          <w:rFonts w:cs="Arial"/>
          <w:color w:val="000000" w:themeColor="text1"/>
        </w:rPr>
        <w:t>Deloitte</w:t>
      </w:r>
      <w:r w:rsidR="00EC6AF6" w:rsidRPr="00B81CD9">
        <w:rPr>
          <w:rFonts w:cs="Arial"/>
          <w:color w:val="000000" w:themeColor="text1"/>
        </w:rPr>
        <w:t xml:space="preserve"> presented its draft </w:t>
      </w:r>
      <w:r w:rsidR="0007393A" w:rsidRPr="00B81CD9">
        <w:rPr>
          <w:rFonts w:cs="Arial"/>
          <w:color w:val="000000" w:themeColor="text1"/>
        </w:rPr>
        <w:t>2024/25</w:t>
      </w:r>
      <w:r w:rsidR="254A9DA0" w:rsidRPr="00B81CD9">
        <w:rPr>
          <w:rFonts w:cs="Arial"/>
          <w:color w:val="000000" w:themeColor="text1"/>
        </w:rPr>
        <w:t xml:space="preserve"> Internal Audit Annual Report.  Only minor drafting amendments were made, which </w:t>
      </w:r>
      <w:r w:rsidR="001B323C" w:rsidRPr="00B81CD9">
        <w:rPr>
          <w:rFonts w:cs="Arial"/>
          <w:color w:val="000000" w:themeColor="text1"/>
        </w:rPr>
        <w:t>have been</w:t>
      </w:r>
      <w:r w:rsidR="254A9DA0" w:rsidRPr="00B81CD9">
        <w:rPr>
          <w:rFonts w:cs="Arial"/>
          <w:color w:val="000000" w:themeColor="text1"/>
        </w:rPr>
        <w:t xml:space="preserve"> reflected in the final report,</w:t>
      </w:r>
      <w:r w:rsidR="002760D5" w:rsidRPr="00B81CD9">
        <w:rPr>
          <w:rFonts w:cs="Arial"/>
          <w:color w:val="000000" w:themeColor="text1"/>
        </w:rPr>
        <w:t xml:space="preserve"> and</w:t>
      </w:r>
      <w:r w:rsidR="254A9DA0" w:rsidRPr="00B81CD9">
        <w:rPr>
          <w:rFonts w:cs="Arial"/>
          <w:color w:val="000000" w:themeColor="text1"/>
        </w:rPr>
        <w:t xml:space="preserve"> approved by th</w:t>
      </w:r>
      <w:r w:rsidRPr="00B81CD9">
        <w:rPr>
          <w:rFonts w:cs="Arial"/>
          <w:color w:val="000000" w:themeColor="text1"/>
        </w:rPr>
        <w:t xml:space="preserve">e Committee at its meeting on </w:t>
      </w:r>
      <w:r w:rsidR="00BA16D6" w:rsidRPr="00B81CD9">
        <w:rPr>
          <w:rFonts w:cs="Arial"/>
          <w:color w:val="000000" w:themeColor="text1"/>
        </w:rPr>
        <w:t>1</w:t>
      </w:r>
      <w:r w:rsidR="0007393A" w:rsidRPr="00B81CD9">
        <w:rPr>
          <w:rFonts w:cs="Arial"/>
          <w:color w:val="000000" w:themeColor="text1"/>
        </w:rPr>
        <w:t>0</w:t>
      </w:r>
      <w:r w:rsidR="001B323C" w:rsidRPr="00B81CD9">
        <w:rPr>
          <w:rFonts w:cs="Arial"/>
          <w:color w:val="000000" w:themeColor="text1"/>
        </w:rPr>
        <w:t xml:space="preserve"> </w:t>
      </w:r>
      <w:r w:rsidR="00A71397" w:rsidRPr="00B81CD9">
        <w:rPr>
          <w:rFonts w:cs="Arial"/>
          <w:color w:val="000000" w:themeColor="text1"/>
        </w:rPr>
        <w:t xml:space="preserve">November </w:t>
      </w:r>
      <w:r w:rsidR="0007393A" w:rsidRPr="00B81CD9">
        <w:rPr>
          <w:rFonts w:cs="Arial"/>
          <w:color w:val="000000" w:themeColor="text1"/>
        </w:rPr>
        <w:t>2025</w:t>
      </w:r>
      <w:r w:rsidR="00A71397" w:rsidRPr="00B81CD9">
        <w:rPr>
          <w:rFonts w:cs="Arial"/>
          <w:color w:val="000000" w:themeColor="text1"/>
        </w:rPr>
        <w:t>.</w:t>
      </w:r>
    </w:p>
    <w:p w14:paraId="4A652F1A" w14:textId="26E38D7F" w:rsidR="00F02DC1" w:rsidRPr="00B81CD9" w:rsidRDefault="008211FC">
      <w:pPr>
        <w:pStyle w:val="ListParagraph"/>
        <w:numPr>
          <w:ilvl w:val="1"/>
          <w:numId w:val="3"/>
        </w:numPr>
        <w:snapToGrid w:val="0"/>
        <w:spacing w:before="240" w:line="240" w:lineRule="auto"/>
        <w:ind w:left="709" w:hanging="709"/>
        <w:contextualSpacing w:val="0"/>
        <w:jc w:val="left"/>
        <w:rPr>
          <w:rFonts w:cs="Arial"/>
          <w:color w:val="000000" w:themeColor="text1"/>
        </w:rPr>
      </w:pPr>
      <w:r w:rsidRPr="00B81CD9">
        <w:rPr>
          <w:rFonts w:cs="Arial"/>
          <w:color w:val="000000" w:themeColor="text1"/>
        </w:rPr>
        <w:t xml:space="preserve">Having completed its </w:t>
      </w:r>
      <w:r w:rsidR="0007393A" w:rsidRPr="00B81CD9">
        <w:rPr>
          <w:rFonts w:cs="Arial"/>
          <w:color w:val="000000" w:themeColor="text1"/>
        </w:rPr>
        <w:t>2024/25</w:t>
      </w:r>
      <w:r w:rsidR="00EC6AF6" w:rsidRPr="00B81CD9">
        <w:rPr>
          <w:rFonts w:cs="Arial"/>
          <w:color w:val="000000" w:themeColor="text1"/>
        </w:rPr>
        <w:t xml:space="preserve"> </w:t>
      </w:r>
      <w:proofErr w:type="spellStart"/>
      <w:r w:rsidR="254A9DA0" w:rsidRPr="00B81CD9">
        <w:rPr>
          <w:rFonts w:cs="Arial"/>
          <w:color w:val="000000" w:themeColor="text1"/>
        </w:rPr>
        <w:t>programme</w:t>
      </w:r>
      <w:proofErr w:type="spellEnd"/>
      <w:r w:rsidR="254A9DA0" w:rsidRPr="00B81CD9">
        <w:rPr>
          <w:rFonts w:cs="Arial"/>
          <w:color w:val="000000" w:themeColor="text1"/>
        </w:rPr>
        <w:t xml:space="preserve"> of internal audit work, </w:t>
      </w:r>
      <w:r w:rsidR="001C290C" w:rsidRPr="00B81CD9">
        <w:rPr>
          <w:rFonts w:cs="Arial"/>
          <w:color w:val="000000" w:themeColor="text1"/>
        </w:rPr>
        <w:t>Deloitte</w:t>
      </w:r>
      <w:r w:rsidR="254A9DA0" w:rsidRPr="00B81CD9">
        <w:rPr>
          <w:rFonts w:cs="Arial"/>
          <w:color w:val="000000" w:themeColor="text1"/>
        </w:rPr>
        <w:t xml:space="preserve"> concluded</w:t>
      </w:r>
      <w:r w:rsidR="00721229" w:rsidRPr="00B81CD9">
        <w:rPr>
          <w:rFonts w:cs="Arial"/>
          <w:color w:val="000000" w:themeColor="text1"/>
        </w:rPr>
        <w:t xml:space="preserve"> that</w:t>
      </w:r>
      <w:r w:rsidR="00A71397" w:rsidRPr="00B81CD9">
        <w:rPr>
          <w:rFonts w:cs="Arial"/>
          <w:color w:val="000000" w:themeColor="text1"/>
        </w:rPr>
        <w:t xml:space="preserve">: </w:t>
      </w:r>
    </w:p>
    <w:p w14:paraId="1CDE3F59" w14:textId="77777777" w:rsidR="00302D98" w:rsidRPr="00B81CD9" w:rsidRDefault="00302D98" w:rsidP="00302D98">
      <w:pPr>
        <w:pStyle w:val="ListParagraph"/>
        <w:snapToGrid w:val="0"/>
        <w:spacing w:before="240" w:line="240" w:lineRule="auto"/>
        <w:ind w:left="709"/>
        <w:contextualSpacing w:val="0"/>
        <w:jc w:val="left"/>
        <w:rPr>
          <w:rFonts w:cs="Arial"/>
          <w:color w:val="000000" w:themeColor="text1"/>
        </w:rPr>
      </w:pPr>
    </w:p>
    <w:p w14:paraId="55837E64" w14:textId="77777777" w:rsidR="00302D98" w:rsidRPr="00B81CD9" w:rsidRDefault="00302D98" w:rsidP="00302D98">
      <w:pPr>
        <w:shd w:val="clear" w:color="auto" w:fill="auto"/>
        <w:kinsoku w:val="0"/>
        <w:overflowPunct w:val="0"/>
        <w:autoSpaceDE w:val="0"/>
        <w:autoSpaceDN w:val="0"/>
        <w:adjustRightInd w:val="0"/>
        <w:spacing w:before="2" w:line="235" w:lineRule="auto"/>
        <w:ind w:left="709" w:right="79"/>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FY2024/25</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internal</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14"/>
          <w:kern w:val="0"/>
          <w:szCs w:val="22"/>
          <w:lang w:val="en-GB" w:eastAsia="en-GB"/>
        </w:rPr>
        <w:t xml:space="preserve"> </w:t>
      </w:r>
      <w:r w:rsidRPr="00B81CD9">
        <w:rPr>
          <w:rFonts w:eastAsia="Times New Roman" w:cs="Arial"/>
          <w:color w:val="000000" w:themeColor="text1"/>
          <w:kern w:val="0"/>
          <w:szCs w:val="22"/>
          <w:lang w:val="en-GB" w:eastAsia="en-GB"/>
        </w:rPr>
        <w:t>plan,</w:t>
      </w:r>
      <w:r w:rsidRPr="00B81CD9">
        <w:rPr>
          <w:rFonts w:eastAsia="Times New Roman" w:cs="Arial"/>
          <w:color w:val="000000" w:themeColor="text1"/>
          <w:spacing w:val="16"/>
          <w:kern w:val="0"/>
          <w:szCs w:val="22"/>
          <w:lang w:val="en-GB" w:eastAsia="en-GB"/>
        </w:rPr>
        <w:t xml:space="preserve"> </w:t>
      </w:r>
      <w:r w:rsidRPr="00B81CD9">
        <w:rPr>
          <w:rFonts w:eastAsia="Times New Roman" w:cs="Arial"/>
          <w:color w:val="000000" w:themeColor="text1"/>
          <w:kern w:val="0"/>
          <w:szCs w:val="22"/>
          <w:lang w:val="en-GB" w:eastAsia="en-GB"/>
        </w:rPr>
        <w:t>taking</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into</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account</w:t>
      </w:r>
      <w:r w:rsidRPr="00B81CD9">
        <w:rPr>
          <w:rFonts w:eastAsia="Times New Roman" w:cs="Arial"/>
          <w:color w:val="000000" w:themeColor="text1"/>
          <w:spacing w:val="1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12"/>
          <w:kern w:val="0"/>
          <w:szCs w:val="22"/>
          <w:lang w:val="en-GB" w:eastAsia="en-GB"/>
        </w:rPr>
        <w:t xml:space="preserve"> </w:t>
      </w:r>
      <w:r w:rsidRPr="00B81CD9">
        <w:rPr>
          <w:rFonts w:eastAsia="Times New Roman" w:cs="Arial"/>
          <w:color w:val="000000" w:themeColor="text1"/>
          <w:kern w:val="0"/>
          <w:szCs w:val="22"/>
          <w:lang w:val="en-GB" w:eastAsia="en-GB"/>
        </w:rPr>
        <w:t>agreed</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15"/>
          <w:kern w:val="0"/>
          <w:szCs w:val="22"/>
          <w:lang w:val="en-GB" w:eastAsia="en-GB"/>
        </w:rPr>
        <w:t xml:space="preserve"> </w:t>
      </w:r>
      <w:r w:rsidRPr="00B81CD9">
        <w:rPr>
          <w:rFonts w:eastAsia="Times New Roman" w:cs="Arial"/>
          <w:color w:val="000000" w:themeColor="text1"/>
          <w:kern w:val="0"/>
          <w:szCs w:val="22"/>
          <w:lang w:val="en-GB" w:eastAsia="en-GB"/>
        </w:rPr>
        <w:t>rectify the</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control</w:t>
      </w:r>
      <w:r w:rsidRPr="00B81CD9">
        <w:rPr>
          <w:rFonts w:eastAsia="Times New Roman" w:cs="Arial"/>
          <w:color w:val="000000" w:themeColor="text1"/>
          <w:spacing w:val="30"/>
          <w:kern w:val="0"/>
          <w:szCs w:val="22"/>
          <w:lang w:val="en-GB" w:eastAsia="en-GB"/>
        </w:rPr>
        <w:t xml:space="preserve"> </w:t>
      </w:r>
      <w:r w:rsidRPr="00B81CD9">
        <w:rPr>
          <w:rFonts w:eastAsia="Times New Roman" w:cs="Arial"/>
          <w:color w:val="000000" w:themeColor="text1"/>
          <w:kern w:val="0"/>
          <w:szCs w:val="22"/>
          <w:lang w:val="en-GB" w:eastAsia="en-GB"/>
        </w:rPr>
        <w:t>weaknesses</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identified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implementation</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status</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thereof,</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provide</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reasonable</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22"/>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an</w:t>
      </w:r>
      <w:r w:rsidRPr="00B81CD9">
        <w:rPr>
          <w:rFonts w:eastAsia="Times New Roman" w:cs="Arial"/>
          <w:color w:val="000000" w:themeColor="text1"/>
          <w:spacing w:val="22"/>
          <w:kern w:val="0"/>
          <w:szCs w:val="22"/>
          <w:lang w:val="en-GB" w:eastAsia="en-GB"/>
        </w:rPr>
        <w:t xml:space="preserve"> </w:t>
      </w:r>
      <w:r w:rsidRPr="00B81CD9">
        <w:rPr>
          <w:rFonts w:eastAsia="Times New Roman" w:cs="Arial"/>
          <w:color w:val="000000" w:themeColor="text1"/>
          <w:kern w:val="0"/>
          <w:szCs w:val="22"/>
          <w:lang w:val="en-GB" w:eastAsia="en-GB"/>
        </w:rPr>
        <w:t>efficient</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effective</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system</w:t>
      </w:r>
      <w:r w:rsidRPr="00B81CD9">
        <w:rPr>
          <w:rFonts w:eastAsia="Times New Roman" w:cs="Arial"/>
          <w:color w:val="000000" w:themeColor="text1"/>
          <w:spacing w:val="23"/>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risk</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management</w:t>
      </w:r>
      <w:r w:rsidRPr="00B81CD9">
        <w:rPr>
          <w:rFonts w:eastAsia="Times New Roman" w:cs="Arial"/>
          <w:color w:val="000000" w:themeColor="text1"/>
          <w:spacing w:val="-5"/>
          <w:kern w:val="0"/>
          <w:szCs w:val="22"/>
          <w:lang w:val="en-GB" w:eastAsia="en-GB"/>
        </w:rPr>
        <w:t xml:space="preserve"> </w:t>
      </w:r>
      <w:r w:rsidRPr="00B81CD9">
        <w:rPr>
          <w:rFonts w:eastAsia="Times New Roman" w:cs="Arial"/>
          <w:color w:val="000000" w:themeColor="text1"/>
          <w:kern w:val="0"/>
          <w:szCs w:val="22"/>
          <w:lang w:val="en-GB" w:eastAsia="en-GB"/>
        </w:rPr>
        <w:t>and governance.</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This</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on the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basis</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that:</w:t>
      </w:r>
    </w:p>
    <w:p w14:paraId="3094A037" w14:textId="77777777" w:rsidR="00302D98" w:rsidRPr="00B81CD9" w:rsidRDefault="00302D98">
      <w:pPr>
        <w:numPr>
          <w:ilvl w:val="0"/>
          <w:numId w:val="11"/>
        </w:numPr>
        <w:shd w:val="clear" w:color="auto" w:fill="auto"/>
        <w:tabs>
          <w:tab w:val="left" w:pos="310"/>
        </w:tabs>
        <w:kinsoku w:val="0"/>
        <w:overflowPunct w:val="0"/>
        <w:autoSpaceDE w:val="0"/>
        <w:autoSpaceDN w:val="0"/>
        <w:adjustRightInd w:val="0"/>
        <w:spacing w:before="40" w:line="240" w:lineRule="auto"/>
        <w:ind w:left="709"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Three of the six internal audits received a Moderate assurance rating.</w:t>
      </w:r>
    </w:p>
    <w:p w14:paraId="50D3284F" w14:textId="77777777" w:rsidR="00302D98" w:rsidRPr="00B81CD9" w:rsidRDefault="00302D98">
      <w:pPr>
        <w:numPr>
          <w:ilvl w:val="0"/>
          <w:numId w:val="11"/>
        </w:numPr>
        <w:shd w:val="clear" w:color="auto" w:fill="auto"/>
        <w:tabs>
          <w:tab w:val="left" w:pos="311"/>
        </w:tabs>
        <w:kinsoku w:val="0"/>
        <w:overflowPunct w:val="0"/>
        <w:autoSpaceDE w:val="0"/>
        <w:autoSpaceDN w:val="0"/>
        <w:adjustRightInd w:val="0"/>
        <w:spacing w:before="41" w:line="235" w:lineRule="auto"/>
        <w:ind w:left="709" w:right="76"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76"/>
          <w:kern w:val="0"/>
          <w:szCs w:val="22"/>
          <w:lang w:val="en-GB" w:eastAsia="en-GB"/>
        </w:rPr>
        <w:t xml:space="preserve"> </w:t>
      </w:r>
      <w:r w:rsidRPr="00B81CD9">
        <w:rPr>
          <w:rFonts w:eastAsia="Times New Roman" w:cs="Arial"/>
          <w:color w:val="000000" w:themeColor="text1"/>
          <w:kern w:val="0"/>
          <w:szCs w:val="22"/>
          <w:lang w:val="en-GB" w:eastAsia="en-GB"/>
        </w:rPr>
        <w:t>has</w:t>
      </w:r>
      <w:r w:rsidRPr="00B81CD9">
        <w:rPr>
          <w:rFonts w:eastAsia="Times New Roman" w:cs="Arial"/>
          <w:color w:val="000000" w:themeColor="text1"/>
          <w:spacing w:val="78"/>
          <w:kern w:val="0"/>
          <w:szCs w:val="22"/>
          <w:lang w:val="en-GB" w:eastAsia="en-GB"/>
        </w:rPr>
        <w:t xml:space="preserve"> </w:t>
      </w:r>
      <w:r w:rsidRPr="00B81CD9">
        <w:rPr>
          <w:rFonts w:eastAsia="Times New Roman" w:cs="Arial"/>
          <w:color w:val="000000" w:themeColor="text1"/>
          <w:kern w:val="0"/>
          <w:szCs w:val="22"/>
          <w:lang w:val="en-GB" w:eastAsia="en-GB"/>
        </w:rPr>
        <w:t>been</w:t>
      </w:r>
      <w:r w:rsidRPr="00B81CD9">
        <w:rPr>
          <w:rFonts w:eastAsia="Times New Roman" w:cs="Arial"/>
          <w:color w:val="000000" w:themeColor="text1"/>
          <w:spacing w:val="75"/>
          <w:kern w:val="0"/>
          <w:szCs w:val="22"/>
          <w:lang w:val="en-GB" w:eastAsia="en-GB"/>
        </w:rPr>
        <w:t xml:space="preserve"> </w:t>
      </w:r>
      <w:r w:rsidRPr="00B81CD9">
        <w:rPr>
          <w:rFonts w:eastAsia="Times New Roman" w:cs="Arial"/>
          <w:color w:val="000000" w:themeColor="text1"/>
          <w:kern w:val="0"/>
          <w:szCs w:val="22"/>
          <w:lang w:val="en-GB" w:eastAsia="en-GB"/>
        </w:rPr>
        <w:t>continued</w:t>
      </w:r>
      <w:r w:rsidRPr="00B81CD9">
        <w:rPr>
          <w:rFonts w:eastAsia="Times New Roman" w:cs="Arial"/>
          <w:color w:val="000000" w:themeColor="text1"/>
          <w:spacing w:val="77"/>
          <w:kern w:val="0"/>
          <w:szCs w:val="22"/>
          <w:lang w:val="en-GB" w:eastAsia="en-GB"/>
        </w:rPr>
        <w:t xml:space="preserve"> </w:t>
      </w:r>
      <w:r w:rsidRPr="00B81CD9">
        <w:rPr>
          <w:rFonts w:eastAsia="Times New Roman" w:cs="Arial"/>
          <w:color w:val="000000" w:themeColor="text1"/>
          <w:kern w:val="0"/>
          <w:szCs w:val="22"/>
          <w:lang w:val="en-GB" w:eastAsia="en-GB"/>
        </w:rPr>
        <w:t>focus</w:t>
      </w:r>
      <w:r w:rsidRPr="00B81CD9">
        <w:rPr>
          <w:rFonts w:eastAsia="Times New Roman" w:cs="Arial"/>
          <w:color w:val="000000" w:themeColor="text1"/>
          <w:spacing w:val="78"/>
          <w:kern w:val="0"/>
          <w:szCs w:val="22"/>
          <w:lang w:val="en-GB" w:eastAsia="en-GB"/>
        </w:rPr>
        <w:t xml:space="preserve"> </w:t>
      </w:r>
      <w:r w:rsidRPr="00B81CD9">
        <w:rPr>
          <w:rFonts w:eastAsia="Times New Roman" w:cs="Arial"/>
          <w:color w:val="000000" w:themeColor="text1"/>
          <w:kern w:val="0"/>
          <w:szCs w:val="22"/>
          <w:lang w:val="en-GB" w:eastAsia="en-GB"/>
        </w:rPr>
        <w:t>during</w:t>
      </w:r>
      <w:r w:rsidRPr="00B81CD9">
        <w:rPr>
          <w:rFonts w:eastAsia="Times New Roman" w:cs="Arial"/>
          <w:color w:val="000000" w:themeColor="text1"/>
          <w:spacing w:val="74"/>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73"/>
          <w:kern w:val="0"/>
          <w:szCs w:val="22"/>
          <w:lang w:val="en-GB" w:eastAsia="en-GB"/>
        </w:rPr>
        <w:t xml:space="preserve"> </w:t>
      </w:r>
      <w:r w:rsidRPr="00B81CD9">
        <w:rPr>
          <w:rFonts w:eastAsia="Times New Roman" w:cs="Arial"/>
          <w:color w:val="000000" w:themeColor="text1"/>
          <w:kern w:val="0"/>
          <w:szCs w:val="22"/>
          <w:lang w:val="en-GB" w:eastAsia="en-GB"/>
        </w:rPr>
        <w:t>year</w:t>
      </w:r>
      <w:r w:rsidRPr="00B81CD9">
        <w:rPr>
          <w:rFonts w:eastAsia="Times New Roman" w:cs="Arial"/>
          <w:color w:val="000000" w:themeColor="text1"/>
          <w:spacing w:val="75"/>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77"/>
          <w:kern w:val="0"/>
          <w:szCs w:val="22"/>
          <w:lang w:val="en-GB" w:eastAsia="en-GB"/>
        </w:rPr>
        <w:t xml:space="preserve"> </w:t>
      </w:r>
      <w:r w:rsidRPr="00B81CD9">
        <w:rPr>
          <w:rFonts w:eastAsia="Times New Roman" w:cs="Arial"/>
          <w:color w:val="000000" w:themeColor="text1"/>
          <w:kern w:val="0"/>
          <w:szCs w:val="22"/>
          <w:lang w:val="en-GB" w:eastAsia="en-GB"/>
        </w:rPr>
        <w:t>implement</w:t>
      </w:r>
      <w:r w:rsidRPr="00B81CD9">
        <w:rPr>
          <w:rFonts w:eastAsia="Times New Roman" w:cs="Arial"/>
          <w:color w:val="000000" w:themeColor="text1"/>
          <w:spacing w:val="74"/>
          <w:kern w:val="0"/>
          <w:szCs w:val="22"/>
          <w:lang w:val="en-GB" w:eastAsia="en-GB"/>
        </w:rPr>
        <w:t xml:space="preserve"> </w:t>
      </w:r>
      <w:r w:rsidRPr="00B81CD9">
        <w:rPr>
          <w:rFonts w:eastAsia="Times New Roman" w:cs="Arial"/>
          <w:color w:val="000000" w:themeColor="text1"/>
          <w:kern w:val="0"/>
          <w:szCs w:val="22"/>
          <w:lang w:val="en-GB" w:eastAsia="en-GB"/>
        </w:rPr>
        <w:t>agreed internal</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20"/>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At</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31</w:t>
      </w:r>
      <w:r w:rsidRPr="00B81CD9">
        <w:rPr>
          <w:rFonts w:eastAsia="Times New Roman" w:cs="Arial"/>
          <w:color w:val="000000" w:themeColor="text1"/>
          <w:spacing w:val="21"/>
          <w:kern w:val="0"/>
          <w:szCs w:val="22"/>
          <w:lang w:val="en-GB" w:eastAsia="en-GB"/>
        </w:rPr>
        <w:t xml:space="preserve"> </w:t>
      </w:r>
      <w:r w:rsidRPr="00B81CD9">
        <w:rPr>
          <w:rFonts w:eastAsia="Times New Roman" w:cs="Arial"/>
          <w:color w:val="000000" w:themeColor="text1"/>
          <w:kern w:val="0"/>
          <w:szCs w:val="22"/>
          <w:lang w:val="en-GB" w:eastAsia="en-GB"/>
        </w:rPr>
        <w:t>July</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2025,</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16"/>
          <w:kern w:val="0"/>
          <w:szCs w:val="22"/>
          <w:lang w:val="en-GB" w:eastAsia="en-GB"/>
        </w:rPr>
        <w:t xml:space="preserve"> </w:t>
      </w:r>
      <w:r w:rsidRPr="00B81CD9">
        <w:rPr>
          <w:rFonts w:eastAsia="Times New Roman" w:cs="Arial"/>
          <w:color w:val="000000" w:themeColor="text1"/>
          <w:kern w:val="0"/>
          <w:szCs w:val="22"/>
          <w:lang w:val="en-GB" w:eastAsia="en-GB"/>
        </w:rPr>
        <w:t>29</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open</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19"/>
          <w:kern w:val="0"/>
          <w:szCs w:val="22"/>
          <w:lang w:val="en-GB" w:eastAsia="en-GB"/>
        </w:rPr>
        <w:t xml:space="preserve"> </w:t>
      </w:r>
      <w:r w:rsidRPr="00B81CD9">
        <w:rPr>
          <w:rFonts w:eastAsia="Times New Roman" w:cs="Arial"/>
          <w:color w:val="000000" w:themeColor="text1"/>
          <w:kern w:val="0"/>
          <w:szCs w:val="22"/>
          <w:lang w:val="en-GB" w:eastAsia="en-GB"/>
        </w:rPr>
        <w:t>none</w:t>
      </w:r>
      <w:r w:rsidRPr="00B81CD9">
        <w:rPr>
          <w:rFonts w:eastAsia="Times New Roman" w:cs="Arial"/>
          <w:color w:val="000000" w:themeColor="text1"/>
          <w:spacing w:val="17"/>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which</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overdue.</w:t>
      </w:r>
    </w:p>
    <w:p w14:paraId="4FBE3FBB" w14:textId="77777777" w:rsidR="00302D98" w:rsidRPr="00B81CD9" w:rsidRDefault="00302D98" w:rsidP="00302D98">
      <w:pPr>
        <w:shd w:val="clear" w:color="auto" w:fill="auto"/>
        <w:kinsoku w:val="0"/>
        <w:overflowPunct w:val="0"/>
        <w:autoSpaceDE w:val="0"/>
        <w:autoSpaceDN w:val="0"/>
        <w:adjustRightInd w:val="0"/>
        <w:spacing w:before="40" w:line="235" w:lineRule="auto"/>
        <w:ind w:left="709" w:right="78"/>
        <w:rPr>
          <w:rFonts w:eastAsia="Times New Roman" w:cs="Arial"/>
          <w:color w:val="000000" w:themeColor="text1"/>
          <w:kern w:val="0"/>
          <w:szCs w:val="22"/>
          <w:lang w:val="en-GB" w:eastAsia="en-GB"/>
        </w:rPr>
      </w:pPr>
    </w:p>
    <w:p w14:paraId="509FCB64" w14:textId="77777777" w:rsidR="00302D98" w:rsidRPr="00B81CD9" w:rsidRDefault="00302D98" w:rsidP="00302D98">
      <w:pPr>
        <w:shd w:val="clear" w:color="auto" w:fill="auto"/>
        <w:kinsoku w:val="0"/>
        <w:overflowPunct w:val="0"/>
        <w:autoSpaceDE w:val="0"/>
        <w:autoSpaceDN w:val="0"/>
        <w:adjustRightInd w:val="0"/>
        <w:spacing w:before="40" w:line="235" w:lineRule="auto"/>
        <w:ind w:left="709" w:right="78"/>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provide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limited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there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an</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efficient</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effective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system</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of internal</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control on the basis that:</w:t>
      </w:r>
    </w:p>
    <w:p w14:paraId="1D4A88BB" w14:textId="77777777" w:rsidR="00302D98" w:rsidRPr="00B81CD9" w:rsidRDefault="00302D98">
      <w:pPr>
        <w:numPr>
          <w:ilvl w:val="0"/>
          <w:numId w:val="11"/>
        </w:numPr>
        <w:shd w:val="clear" w:color="auto" w:fill="auto"/>
        <w:tabs>
          <w:tab w:val="left" w:pos="311"/>
        </w:tabs>
        <w:kinsoku w:val="0"/>
        <w:overflowPunct w:val="0"/>
        <w:autoSpaceDE w:val="0"/>
        <w:autoSpaceDN w:val="0"/>
        <w:adjustRightInd w:val="0"/>
        <w:spacing w:before="43" w:line="235" w:lineRule="auto"/>
        <w:ind w:left="709" w:right="76"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We</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have</w:t>
      </w:r>
      <w:r w:rsidRPr="00B81CD9">
        <w:rPr>
          <w:rFonts w:eastAsia="Times New Roman" w:cs="Arial"/>
          <w:color w:val="000000" w:themeColor="text1"/>
          <w:spacing w:val="69"/>
          <w:kern w:val="0"/>
          <w:szCs w:val="22"/>
          <w:lang w:val="en-GB" w:eastAsia="en-GB"/>
        </w:rPr>
        <w:t xml:space="preserve"> </w:t>
      </w:r>
      <w:r w:rsidRPr="00B81CD9">
        <w:rPr>
          <w:rFonts w:eastAsia="Times New Roman" w:cs="Arial"/>
          <w:color w:val="000000" w:themeColor="text1"/>
          <w:kern w:val="0"/>
          <w:szCs w:val="22"/>
          <w:lang w:val="en-GB" w:eastAsia="en-GB"/>
        </w:rPr>
        <w:t>raised</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nine</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Priority</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1</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observations,</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resulting</w:t>
      </w:r>
      <w:r w:rsidRPr="00B81CD9">
        <w:rPr>
          <w:rFonts w:eastAsia="Times New Roman" w:cs="Arial"/>
          <w:color w:val="000000" w:themeColor="text1"/>
          <w:spacing w:val="72"/>
          <w:kern w:val="0"/>
          <w:szCs w:val="22"/>
          <w:lang w:val="en-GB" w:eastAsia="en-GB"/>
        </w:rPr>
        <w:t xml:space="preserve"> </w:t>
      </w:r>
      <w:r w:rsidRPr="00B81CD9">
        <w:rPr>
          <w:rFonts w:eastAsia="Times New Roman" w:cs="Arial"/>
          <w:color w:val="000000" w:themeColor="text1"/>
          <w:kern w:val="0"/>
          <w:szCs w:val="22"/>
          <w:lang w:val="en-GB" w:eastAsia="en-GB"/>
        </w:rPr>
        <w:t>in</w:t>
      </w:r>
      <w:r w:rsidRPr="00B81CD9">
        <w:rPr>
          <w:rFonts w:eastAsia="Times New Roman" w:cs="Arial"/>
          <w:color w:val="000000" w:themeColor="text1"/>
          <w:spacing w:val="67"/>
          <w:kern w:val="0"/>
          <w:szCs w:val="22"/>
          <w:lang w:val="en-GB" w:eastAsia="en-GB"/>
        </w:rPr>
        <w:t xml:space="preserve"> </w:t>
      </w:r>
      <w:r w:rsidRPr="00B81CD9">
        <w:rPr>
          <w:rFonts w:eastAsia="Times New Roman" w:cs="Arial"/>
          <w:color w:val="000000" w:themeColor="text1"/>
          <w:kern w:val="0"/>
          <w:szCs w:val="22"/>
          <w:lang w:val="en-GB" w:eastAsia="en-GB"/>
        </w:rPr>
        <w:t>23</w:t>
      </w:r>
      <w:r w:rsidRPr="00B81CD9">
        <w:rPr>
          <w:rFonts w:eastAsia="Times New Roman" w:cs="Arial"/>
          <w:color w:val="000000" w:themeColor="text1"/>
          <w:spacing w:val="71"/>
          <w:kern w:val="0"/>
          <w:szCs w:val="22"/>
          <w:lang w:val="en-GB" w:eastAsia="en-GB"/>
        </w:rPr>
        <w:t xml:space="preserve"> </w:t>
      </w:r>
      <w:r w:rsidRPr="00B81CD9">
        <w:rPr>
          <w:rFonts w:eastAsia="Times New Roman" w:cs="Arial"/>
          <w:color w:val="000000" w:themeColor="text1"/>
          <w:kern w:val="0"/>
          <w:szCs w:val="22"/>
          <w:lang w:val="en-GB" w:eastAsia="en-GB"/>
        </w:rPr>
        <w:t>actions,</w:t>
      </w:r>
      <w:r w:rsidRPr="00B81CD9">
        <w:rPr>
          <w:rFonts w:eastAsia="Times New Roman" w:cs="Arial"/>
          <w:color w:val="000000" w:themeColor="text1"/>
          <w:spacing w:val="68"/>
          <w:kern w:val="0"/>
          <w:szCs w:val="22"/>
          <w:lang w:val="en-GB" w:eastAsia="en-GB"/>
        </w:rPr>
        <w:t xml:space="preserve"> </w:t>
      </w:r>
      <w:r w:rsidRPr="00B81CD9">
        <w:rPr>
          <w:rFonts w:eastAsia="Times New Roman" w:cs="Arial"/>
          <w:color w:val="000000" w:themeColor="text1"/>
          <w:kern w:val="0"/>
          <w:szCs w:val="22"/>
          <w:lang w:val="en-GB" w:eastAsia="en-GB"/>
        </w:rPr>
        <w:t>an increase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from none during FY2023/24.</w:t>
      </w:r>
    </w:p>
    <w:p w14:paraId="4F6C39C3" w14:textId="77777777" w:rsidR="00302D98" w:rsidRPr="00B81CD9" w:rsidRDefault="00302D98">
      <w:pPr>
        <w:numPr>
          <w:ilvl w:val="0"/>
          <w:numId w:val="11"/>
        </w:numPr>
        <w:shd w:val="clear" w:color="auto" w:fill="auto"/>
        <w:tabs>
          <w:tab w:val="left" w:pos="311"/>
        </w:tabs>
        <w:kinsoku w:val="0"/>
        <w:overflowPunct w:val="0"/>
        <w:autoSpaceDE w:val="0"/>
        <w:autoSpaceDN w:val="0"/>
        <w:adjustRightInd w:val="0"/>
        <w:spacing w:before="42" w:line="235" w:lineRule="auto"/>
        <w:ind w:left="709" w:right="74"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For</w:t>
      </w:r>
      <w:r w:rsidRPr="00B81CD9">
        <w:rPr>
          <w:rFonts w:eastAsia="Times New Roman" w:cs="Arial"/>
          <w:color w:val="000000" w:themeColor="text1"/>
          <w:spacing w:val="29"/>
          <w:kern w:val="0"/>
          <w:szCs w:val="22"/>
          <w:lang w:val="en-GB" w:eastAsia="en-GB"/>
        </w:rPr>
        <w:t xml:space="preserve"> </w:t>
      </w:r>
      <w:r w:rsidRPr="00B81CD9">
        <w:rPr>
          <w:rFonts w:eastAsia="Times New Roman" w:cs="Arial"/>
          <w:color w:val="000000" w:themeColor="text1"/>
          <w:kern w:val="0"/>
          <w:szCs w:val="22"/>
          <w:lang w:val="en-GB" w:eastAsia="en-GB"/>
        </w:rPr>
        <w:t>one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assignment,</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Payroll,</w:t>
      </w:r>
      <w:r w:rsidRPr="00B81CD9">
        <w:rPr>
          <w:rFonts w:eastAsia="Times New Roman" w:cs="Arial"/>
          <w:color w:val="000000" w:themeColor="text1"/>
          <w:spacing w:val="30"/>
          <w:kern w:val="0"/>
          <w:szCs w:val="22"/>
          <w:lang w:val="en-GB" w:eastAsia="en-GB"/>
        </w:rPr>
        <w:t xml:space="preserve"> </w:t>
      </w:r>
      <w:r w:rsidRPr="00B81CD9">
        <w:rPr>
          <w:rFonts w:eastAsia="Times New Roman" w:cs="Arial"/>
          <w:color w:val="000000" w:themeColor="text1"/>
          <w:kern w:val="0"/>
          <w:szCs w:val="22"/>
          <w:lang w:val="en-GB" w:eastAsia="en-GB"/>
        </w:rPr>
        <w:t>No</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was</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provided</w:t>
      </w:r>
      <w:r w:rsidRPr="00B81CD9">
        <w:rPr>
          <w:rFonts w:eastAsia="Times New Roman" w:cs="Arial"/>
          <w:color w:val="000000" w:themeColor="text1"/>
          <w:spacing w:val="32"/>
          <w:kern w:val="0"/>
          <w:szCs w:val="22"/>
          <w:lang w:val="en-GB" w:eastAsia="en-GB"/>
        </w:rPr>
        <w:t xml:space="preserve"> </w:t>
      </w:r>
      <w:r w:rsidRPr="00B81CD9">
        <w:rPr>
          <w:rFonts w:eastAsia="Times New Roman" w:cs="Arial"/>
          <w:color w:val="000000" w:themeColor="text1"/>
          <w:kern w:val="0"/>
          <w:szCs w:val="22"/>
          <w:lang w:val="en-GB" w:eastAsia="en-GB"/>
        </w:rPr>
        <w:t>due</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29"/>
          <w:kern w:val="0"/>
          <w:szCs w:val="22"/>
          <w:lang w:val="en-GB" w:eastAsia="en-GB"/>
        </w:rPr>
        <w:t xml:space="preserve"> </w:t>
      </w:r>
      <w:r w:rsidRPr="00B81CD9">
        <w:rPr>
          <w:rFonts w:eastAsia="Times New Roman" w:cs="Arial"/>
          <w:color w:val="000000" w:themeColor="text1"/>
          <w:kern w:val="0"/>
          <w:szCs w:val="22"/>
          <w:lang w:val="en-GB" w:eastAsia="en-GB"/>
        </w:rPr>
        <w:t>significant control</w:t>
      </w:r>
      <w:r w:rsidRPr="00B81CD9">
        <w:rPr>
          <w:rFonts w:eastAsia="Times New Roman" w:cs="Arial"/>
          <w:color w:val="000000" w:themeColor="text1"/>
          <w:spacing w:val="24"/>
          <w:kern w:val="0"/>
          <w:szCs w:val="22"/>
          <w:lang w:val="en-GB" w:eastAsia="en-GB"/>
        </w:rPr>
        <w:t xml:space="preserve"> </w:t>
      </w:r>
      <w:r w:rsidRPr="00B81CD9">
        <w:rPr>
          <w:rFonts w:eastAsia="Times New Roman" w:cs="Arial"/>
          <w:color w:val="000000" w:themeColor="text1"/>
          <w:kern w:val="0"/>
          <w:szCs w:val="22"/>
          <w:lang w:val="en-GB" w:eastAsia="en-GB"/>
        </w:rPr>
        <w:t>weaknesses</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being</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identified.</w:t>
      </w:r>
      <w:r w:rsidRPr="00B81CD9">
        <w:rPr>
          <w:rFonts w:eastAsia="Times New Roman" w:cs="Arial"/>
          <w:color w:val="000000" w:themeColor="text1"/>
          <w:spacing w:val="28"/>
          <w:kern w:val="0"/>
          <w:szCs w:val="22"/>
          <w:lang w:val="en-GB" w:eastAsia="en-GB"/>
        </w:rPr>
        <w:t xml:space="preserve"> </w:t>
      </w:r>
      <w:r w:rsidRPr="00B81CD9">
        <w:rPr>
          <w:rFonts w:eastAsia="Times New Roman" w:cs="Arial"/>
          <w:color w:val="000000" w:themeColor="text1"/>
          <w:kern w:val="0"/>
          <w:szCs w:val="22"/>
          <w:lang w:val="en-GB" w:eastAsia="en-GB"/>
        </w:rPr>
        <w:t>It</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is</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agreed</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with</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26"/>
          <w:kern w:val="0"/>
          <w:szCs w:val="22"/>
          <w:lang w:val="en-GB" w:eastAsia="en-GB"/>
        </w:rPr>
        <w:t xml:space="preserve"> </w:t>
      </w:r>
      <w:r w:rsidRPr="00B81CD9">
        <w:rPr>
          <w:rFonts w:eastAsia="Times New Roman" w:cs="Arial"/>
          <w:color w:val="000000" w:themeColor="text1"/>
          <w:kern w:val="0"/>
          <w:szCs w:val="22"/>
          <w:lang w:val="en-GB" w:eastAsia="en-GB"/>
        </w:rPr>
        <w:t>ARC</w:t>
      </w:r>
      <w:r w:rsidRPr="00B81CD9">
        <w:rPr>
          <w:rFonts w:eastAsia="Times New Roman" w:cs="Arial"/>
          <w:color w:val="000000" w:themeColor="text1"/>
          <w:spacing w:val="27"/>
          <w:kern w:val="0"/>
          <w:szCs w:val="22"/>
          <w:lang w:val="en-GB" w:eastAsia="en-GB"/>
        </w:rPr>
        <w:t xml:space="preserve"> </w:t>
      </w:r>
      <w:r w:rsidRPr="00B81CD9">
        <w:rPr>
          <w:rFonts w:eastAsia="Times New Roman" w:cs="Arial"/>
          <w:color w:val="000000" w:themeColor="text1"/>
          <w:kern w:val="0"/>
          <w:szCs w:val="22"/>
          <w:lang w:val="en-GB" w:eastAsia="en-GB"/>
        </w:rPr>
        <w:t>that</w:t>
      </w:r>
      <w:r w:rsidRPr="00B81CD9">
        <w:rPr>
          <w:rFonts w:eastAsia="Times New Roman" w:cs="Arial"/>
          <w:color w:val="000000" w:themeColor="text1"/>
          <w:spacing w:val="25"/>
          <w:kern w:val="0"/>
          <w:szCs w:val="22"/>
          <w:lang w:val="en-GB" w:eastAsia="en-GB"/>
        </w:rPr>
        <w:t xml:space="preserve"> </w:t>
      </w:r>
      <w:r w:rsidRPr="00B81CD9">
        <w:rPr>
          <w:rFonts w:eastAsia="Times New Roman" w:cs="Arial"/>
          <w:color w:val="000000" w:themeColor="text1"/>
          <w:kern w:val="0"/>
          <w:szCs w:val="22"/>
          <w:lang w:val="en-GB" w:eastAsia="en-GB"/>
        </w:rPr>
        <w:t>internal audit will</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monitor the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ongoing implementation of the</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agreed actions, none</w:t>
      </w:r>
      <w:r w:rsidRPr="00B81CD9">
        <w:rPr>
          <w:rFonts w:eastAsia="Times New Roman" w:cs="Arial"/>
          <w:color w:val="000000" w:themeColor="text1"/>
          <w:spacing w:val="-1"/>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
          <w:kern w:val="0"/>
          <w:szCs w:val="22"/>
          <w:lang w:val="en-GB" w:eastAsia="en-GB"/>
        </w:rPr>
        <w:t xml:space="preserve"> </w:t>
      </w:r>
      <w:r w:rsidRPr="00B81CD9">
        <w:rPr>
          <w:rFonts w:eastAsia="Times New Roman" w:cs="Arial"/>
          <w:color w:val="000000" w:themeColor="text1"/>
          <w:kern w:val="0"/>
          <w:szCs w:val="22"/>
          <w:lang w:val="en-GB" w:eastAsia="en-GB"/>
        </w:rPr>
        <w:t>which</w:t>
      </w:r>
      <w:r w:rsidRPr="00B81CD9">
        <w:rPr>
          <w:rFonts w:eastAsia="Times New Roman" w:cs="Arial"/>
          <w:color w:val="000000" w:themeColor="text1"/>
          <w:spacing w:val="31"/>
          <w:kern w:val="0"/>
          <w:szCs w:val="22"/>
          <w:lang w:val="en-GB" w:eastAsia="en-GB"/>
        </w:rPr>
        <w:t xml:space="preserve"> </w:t>
      </w:r>
      <w:r w:rsidRPr="00B81CD9">
        <w:rPr>
          <w:rFonts w:eastAsia="Times New Roman" w:cs="Arial"/>
          <w:color w:val="000000" w:themeColor="text1"/>
          <w:kern w:val="0"/>
          <w:szCs w:val="22"/>
          <w:lang w:val="en-GB" w:eastAsia="en-GB"/>
        </w:rPr>
        <w:t>are</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overdue</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at</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1"/>
          <w:kern w:val="0"/>
          <w:szCs w:val="22"/>
          <w:lang w:val="en-GB" w:eastAsia="en-GB"/>
        </w:rPr>
        <w:t xml:space="preserve"> </w:t>
      </w:r>
      <w:r w:rsidRPr="00B81CD9">
        <w:rPr>
          <w:rFonts w:eastAsia="Times New Roman" w:cs="Arial"/>
          <w:color w:val="000000" w:themeColor="text1"/>
          <w:kern w:val="0"/>
          <w:szCs w:val="22"/>
          <w:lang w:val="en-GB" w:eastAsia="en-GB"/>
        </w:rPr>
        <w:t>time</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writing,</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a</w:t>
      </w:r>
      <w:r w:rsidRPr="00B81CD9">
        <w:rPr>
          <w:rFonts w:eastAsia="Times New Roman" w:cs="Arial"/>
          <w:color w:val="000000" w:themeColor="text1"/>
          <w:spacing w:val="33"/>
          <w:kern w:val="0"/>
          <w:szCs w:val="22"/>
          <w:lang w:val="en-GB" w:eastAsia="en-GB"/>
        </w:rPr>
        <w:t xml:space="preserve"> </w:t>
      </w:r>
      <w:r w:rsidRPr="00B81CD9">
        <w:rPr>
          <w:rFonts w:eastAsia="Times New Roman" w:cs="Arial"/>
          <w:color w:val="000000" w:themeColor="text1"/>
          <w:kern w:val="0"/>
          <w:szCs w:val="22"/>
          <w:lang w:val="en-GB" w:eastAsia="en-GB"/>
        </w:rPr>
        <w:t>follow-up</w:t>
      </w:r>
      <w:r w:rsidRPr="00B81CD9">
        <w:rPr>
          <w:rFonts w:eastAsia="Times New Roman" w:cs="Arial"/>
          <w:color w:val="000000" w:themeColor="text1"/>
          <w:spacing w:val="35"/>
          <w:kern w:val="0"/>
          <w:szCs w:val="22"/>
          <w:lang w:val="en-GB" w:eastAsia="en-GB"/>
        </w:rPr>
        <w:t xml:space="preserve"> </w:t>
      </w:r>
      <w:r w:rsidRPr="00B81CD9">
        <w:rPr>
          <w:rFonts w:eastAsia="Times New Roman" w:cs="Arial"/>
          <w:color w:val="000000" w:themeColor="text1"/>
          <w:kern w:val="0"/>
          <w:szCs w:val="22"/>
          <w:lang w:val="en-GB" w:eastAsia="en-GB"/>
        </w:rPr>
        <w:t>audit</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would</w:t>
      </w:r>
      <w:r w:rsidRPr="00B81CD9">
        <w:rPr>
          <w:rFonts w:eastAsia="Times New Roman" w:cs="Arial"/>
          <w:color w:val="000000" w:themeColor="text1"/>
          <w:spacing w:val="34"/>
          <w:kern w:val="0"/>
          <w:szCs w:val="22"/>
          <w:lang w:val="en-GB" w:eastAsia="en-GB"/>
        </w:rPr>
        <w:t xml:space="preserve"> </w:t>
      </w:r>
      <w:r w:rsidRPr="00B81CD9">
        <w:rPr>
          <w:rFonts w:eastAsia="Times New Roman" w:cs="Arial"/>
          <w:color w:val="000000" w:themeColor="text1"/>
          <w:kern w:val="0"/>
          <w:szCs w:val="22"/>
          <w:lang w:val="en-GB" w:eastAsia="en-GB"/>
        </w:rPr>
        <w:t>be conducted</w:t>
      </w:r>
      <w:r w:rsidRPr="00B81CD9">
        <w:rPr>
          <w:rFonts w:eastAsia="Times New Roman" w:cs="Arial"/>
          <w:color w:val="000000" w:themeColor="text1"/>
          <w:spacing w:val="-4"/>
          <w:kern w:val="0"/>
          <w:szCs w:val="22"/>
          <w:lang w:val="en-GB" w:eastAsia="en-GB"/>
        </w:rPr>
        <w:t xml:space="preserve"> </w:t>
      </w:r>
      <w:r w:rsidRPr="00B81CD9">
        <w:rPr>
          <w:rFonts w:eastAsia="Times New Roman" w:cs="Arial"/>
          <w:color w:val="000000" w:themeColor="text1"/>
          <w:kern w:val="0"/>
          <w:szCs w:val="22"/>
          <w:lang w:val="en-GB" w:eastAsia="en-GB"/>
        </w:rPr>
        <w:t>during</w:t>
      </w:r>
      <w:r w:rsidRPr="00B81CD9">
        <w:rPr>
          <w:rFonts w:eastAsia="Times New Roman" w:cs="Arial"/>
          <w:color w:val="000000" w:themeColor="text1"/>
          <w:spacing w:val="-2"/>
          <w:kern w:val="0"/>
          <w:szCs w:val="22"/>
          <w:lang w:val="en-GB" w:eastAsia="en-GB"/>
        </w:rPr>
        <w:t xml:space="preserve"> </w:t>
      </w:r>
      <w:r w:rsidRPr="00B81CD9">
        <w:rPr>
          <w:rFonts w:eastAsia="Times New Roman" w:cs="Arial"/>
          <w:color w:val="000000" w:themeColor="text1"/>
          <w:kern w:val="0"/>
          <w:szCs w:val="22"/>
          <w:lang w:val="en-GB" w:eastAsia="en-GB"/>
        </w:rPr>
        <w:t>FY2025/26</w:t>
      </w:r>
    </w:p>
    <w:p w14:paraId="05F0C0CA" w14:textId="77777777" w:rsidR="00302D98" w:rsidRPr="00B81CD9" w:rsidRDefault="00302D98">
      <w:pPr>
        <w:numPr>
          <w:ilvl w:val="0"/>
          <w:numId w:val="11"/>
        </w:numPr>
        <w:shd w:val="clear" w:color="auto" w:fill="auto"/>
        <w:tabs>
          <w:tab w:val="left" w:pos="311"/>
        </w:tabs>
        <w:kinsoku w:val="0"/>
        <w:overflowPunct w:val="0"/>
        <w:autoSpaceDE w:val="0"/>
        <w:autoSpaceDN w:val="0"/>
        <w:adjustRightInd w:val="0"/>
        <w:spacing w:before="43" w:line="235" w:lineRule="auto"/>
        <w:ind w:left="709" w:right="74" w:firstLine="0"/>
        <w:jc w:val="left"/>
        <w:rPr>
          <w:rFonts w:eastAsia="Times New Roman" w:cs="Arial"/>
          <w:color w:val="000000" w:themeColor="text1"/>
          <w:kern w:val="0"/>
          <w:szCs w:val="22"/>
          <w:lang w:val="en-GB" w:eastAsia="en-GB"/>
        </w:rPr>
      </w:pPr>
      <w:r w:rsidRPr="00B81CD9">
        <w:rPr>
          <w:rFonts w:eastAsia="Times New Roman" w:cs="Arial"/>
          <w:color w:val="000000" w:themeColor="text1"/>
          <w:kern w:val="0"/>
          <w:szCs w:val="22"/>
          <w:lang w:val="en-GB" w:eastAsia="en-GB"/>
        </w:rPr>
        <w:t>Two</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of</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the</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six</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internal</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audits</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received</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Limited</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assurance</w:t>
      </w:r>
      <w:r w:rsidRPr="00B81CD9">
        <w:rPr>
          <w:rFonts w:eastAsia="Times New Roman" w:cs="Arial"/>
          <w:color w:val="000000" w:themeColor="text1"/>
          <w:spacing w:val="39"/>
          <w:kern w:val="0"/>
          <w:szCs w:val="22"/>
          <w:lang w:val="en-GB" w:eastAsia="en-GB"/>
        </w:rPr>
        <w:t xml:space="preserve"> </w:t>
      </w:r>
      <w:r w:rsidRPr="00B81CD9">
        <w:rPr>
          <w:rFonts w:eastAsia="Times New Roman" w:cs="Arial"/>
          <w:color w:val="000000" w:themeColor="text1"/>
          <w:kern w:val="0"/>
          <w:szCs w:val="22"/>
          <w:lang w:val="en-GB" w:eastAsia="en-GB"/>
        </w:rPr>
        <w:t>rating.</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Agreed actions</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for</w:t>
      </w:r>
      <w:r w:rsidRPr="00B81CD9">
        <w:rPr>
          <w:rFonts w:eastAsia="Times New Roman" w:cs="Arial"/>
          <w:color w:val="000000" w:themeColor="text1"/>
          <w:spacing w:val="58"/>
          <w:kern w:val="0"/>
          <w:szCs w:val="22"/>
          <w:lang w:val="en-GB" w:eastAsia="en-GB"/>
        </w:rPr>
        <w:t xml:space="preserve"> </w:t>
      </w:r>
      <w:r w:rsidRPr="00B81CD9">
        <w:rPr>
          <w:rFonts w:eastAsia="Times New Roman" w:cs="Arial"/>
          <w:color w:val="000000" w:themeColor="text1"/>
          <w:kern w:val="0"/>
          <w:szCs w:val="22"/>
          <w:lang w:val="en-GB" w:eastAsia="en-GB"/>
        </w:rPr>
        <w:t>these</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were</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being</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implemented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on</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time</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and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will</w:t>
      </w:r>
      <w:r w:rsidRPr="00B81CD9">
        <w:rPr>
          <w:rFonts w:eastAsia="Times New Roman" w:cs="Arial"/>
          <w:color w:val="000000" w:themeColor="text1"/>
          <w:spacing w:val="40"/>
          <w:kern w:val="0"/>
          <w:szCs w:val="22"/>
          <w:lang w:val="en-GB" w:eastAsia="en-GB"/>
        </w:rPr>
        <w:t xml:space="preserve"> </w:t>
      </w:r>
      <w:r w:rsidRPr="00B81CD9">
        <w:rPr>
          <w:rFonts w:eastAsia="Times New Roman" w:cs="Arial"/>
          <w:color w:val="000000" w:themeColor="text1"/>
          <w:kern w:val="0"/>
          <w:szCs w:val="22"/>
          <w:lang w:val="en-GB" w:eastAsia="en-GB"/>
        </w:rPr>
        <w:t>need</w:t>
      </w:r>
      <w:r w:rsidRPr="00B81CD9">
        <w:rPr>
          <w:rFonts w:eastAsia="Times New Roman" w:cs="Arial"/>
          <w:color w:val="000000" w:themeColor="text1"/>
          <w:spacing w:val="57"/>
          <w:kern w:val="0"/>
          <w:szCs w:val="22"/>
          <w:lang w:val="en-GB" w:eastAsia="en-GB"/>
        </w:rPr>
        <w:t xml:space="preserve"> </w:t>
      </w:r>
      <w:r w:rsidRPr="00B81CD9">
        <w:rPr>
          <w:rFonts w:eastAsia="Times New Roman" w:cs="Arial"/>
          <w:color w:val="000000" w:themeColor="text1"/>
          <w:kern w:val="0"/>
          <w:szCs w:val="22"/>
          <w:lang w:val="en-GB" w:eastAsia="en-GB"/>
        </w:rPr>
        <w:t>to</w:t>
      </w:r>
      <w:r w:rsidRPr="00B81CD9">
        <w:rPr>
          <w:rFonts w:eastAsia="Times New Roman" w:cs="Arial"/>
          <w:color w:val="000000" w:themeColor="text1"/>
          <w:spacing w:val="56"/>
          <w:kern w:val="0"/>
          <w:szCs w:val="22"/>
          <w:lang w:val="en-GB" w:eastAsia="en-GB"/>
        </w:rPr>
        <w:t xml:space="preserve"> </w:t>
      </w:r>
      <w:r w:rsidRPr="00B81CD9">
        <w:rPr>
          <w:rFonts w:eastAsia="Times New Roman" w:cs="Arial"/>
          <w:color w:val="000000" w:themeColor="text1"/>
          <w:kern w:val="0"/>
          <w:szCs w:val="22"/>
          <w:lang w:val="en-GB" w:eastAsia="en-GB"/>
        </w:rPr>
        <w:t>be</w:t>
      </w:r>
    </w:p>
    <w:p w14:paraId="2415A9AF" w14:textId="30195B7D" w:rsidR="00F91D03" w:rsidRPr="00B81CD9" w:rsidRDefault="00302D98" w:rsidP="00302D98">
      <w:pPr>
        <w:shd w:val="clear" w:color="auto" w:fill="auto"/>
        <w:kinsoku w:val="0"/>
        <w:overflowPunct w:val="0"/>
        <w:autoSpaceDE w:val="0"/>
        <w:autoSpaceDN w:val="0"/>
        <w:adjustRightInd w:val="0"/>
        <w:spacing w:line="265" w:lineRule="exact"/>
        <w:ind w:left="709"/>
        <w:jc w:val="left"/>
        <w:rPr>
          <w:rFonts w:asciiTheme="minorBidi" w:eastAsia="Times New Roman" w:hAnsiTheme="minorBidi" w:cstheme="minorBidi"/>
          <w:color w:val="000000" w:themeColor="text1"/>
          <w:kern w:val="0"/>
          <w:szCs w:val="22"/>
          <w:lang w:val="en-GB" w:eastAsia="en-GB"/>
        </w:rPr>
      </w:pPr>
      <w:r w:rsidRPr="00B81CD9">
        <w:rPr>
          <w:rFonts w:eastAsia="Times New Roman" w:cs="Arial"/>
          <w:color w:val="000000" w:themeColor="text1"/>
          <w:kern w:val="0"/>
          <w:szCs w:val="22"/>
          <w:lang w:val="en-GB" w:eastAsia="en-GB"/>
        </w:rPr>
        <w:t>monitored for continued operating effectiveness</w:t>
      </w:r>
    </w:p>
    <w:p w14:paraId="664C52B2" w14:textId="1CCCD2AC" w:rsidR="00311F25" w:rsidRPr="00B81CD9" w:rsidRDefault="00552EEF" w:rsidP="00552EEF">
      <w:pPr>
        <w:snapToGrid w:val="0"/>
        <w:spacing w:before="240" w:line="312" w:lineRule="auto"/>
        <w:jc w:val="left"/>
        <w:rPr>
          <w:i/>
          <w:iCs/>
          <w:color w:val="000000" w:themeColor="text1"/>
        </w:rPr>
      </w:pPr>
      <w:r w:rsidRPr="00B81CD9">
        <w:rPr>
          <w:i/>
          <w:iCs/>
          <w:color w:val="000000" w:themeColor="text1"/>
        </w:rPr>
        <w:t>Risk management</w:t>
      </w:r>
    </w:p>
    <w:p w14:paraId="5486837F" w14:textId="3AFEF34E" w:rsidR="00464048" w:rsidRPr="00B81CD9" w:rsidRDefault="254A9DA0">
      <w:pPr>
        <w:pStyle w:val="ListParagraph"/>
        <w:numPr>
          <w:ilvl w:val="1"/>
          <w:numId w:val="3"/>
        </w:numPr>
        <w:snapToGrid w:val="0"/>
        <w:spacing w:before="240" w:line="312" w:lineRule="auto"/>
        <w:ind w:left="709" w:hanging="709"/>
        <w:jc w:val="left"/>
        <w:rPr>
          <w:color w:val="000000" w:themeColor="text1"/>
        </w:rPr>
      </w:pPr>
      <w:r w:rsidRPr="00B81CD9">
        <w:rPr>
          <w:rFonts w:cs="Arial"/>
          <w:color w:val="000000" w:themeColor="text1"/>
        </w:rPr>
        <w:t>A substantial amount of Committee’s business is devoted to risk management.  T</w:t>
      </w:r>
      <w:r w:rsidRPr="00B81CD9">
        <w:rPr>
          <w:color w:val="000000" w:themeColor="text1"/>
        </w:rPr>
        <w:t xml:space="preserve">he University’s Risk Management Policy and Process includes a regular quarterly review of the University’s Corporate Risk Register (CRR) by the executive, informed by discussion of the CRR at meetings of risk champions from the Schools and Professional Service Departments (PSDs). This integrates risk management with the strategic and business planning process and ensures that the CRR is regularly refreshed in light of progress in implementing the University’s strategic objectives, and that resources are directed at the highest priority risks and are managed efficiently and effectively. </w:t>
      </w:r>
      <w:r w:rsidR="001B323C" w:rsidRPr="00B81CD9">
        <w:rPr>
          <w:color w:val="000000" w:themeColor="text1"/>
        </w:rPr>
        <w:t>Updates on risk management activity are provided quarterly to the Board of Governors.</w:t>
      </w:r>
    </w:p>
    <w:p w14:paraId="26E573CB" w14:textId="77777777" w:rsidR="00A71397" w:rsidRPr="00B81CD9" w:rsidRDefault="00A71397" w:rsidP="00A71397">
      <w:pPr>
        <w:pStyle w:val="ListParagraph"/>
        <w:snapToGrid w:val="0"/>
        <w:spacing w:before="240" w:line="312" w:lineRule="auto"/>
        <w:ind w:left="709"/>
        <w:jc w:val="left"/>
        <w:rPr>
          <w:color w:val="000000" w:themeColor="text1"/>
        </w:rPr>
      </w:pPr>
    </w:p>
    <w:p w14:paraId="6ED871C0" w14:textId="2DA633B1" w:rsidR="00EE6966" w:rsidRPr="00B81CD9" w:rsidRDefault="00EE2743" w:rsidP="00EE2743">
      <w:pPr>
        <w:pStyle w:val="ListParagraph"/>
        <w:snapToGrid w:val="0"/>
        <w:spacing w:line="312" w:lineRule="auto"/>
        <w:ind w:left="709"/>
        <w:contextualSpacing w:val="0"/>
        <w:jc w:val="left"/>
        <w:rPr>
          <w:color w:val="000000" w:themeColor="text1"/>
        </w:rPr>
      </w:pPr>
      <w:r w:rsidRPr="00B81CD9">
        <w:rPr>
          <w:color w:val="000000" w:themeColor="text1"/>
        </w:rPr>
        <w:t xml:space="preserve">Board of Governors Consideration of Risk: The regular consideration of corporate risk by the Governing Body. A summary report on corporate risks and changes to strategic risks is presented each quarter. </w:t>
      </w:r>
    </w:p>
    <w:p w14:paraId="66612515" w14:textId="77777777" w:rsidR="00EE2743" w:rsidRPr="00B81CD9" w:rsidRDefault="00EE2743" w:rsidP="00EE2743">
      <w:pPr>
        <w:pStyle w:val="ListParagraph"/>
        <w:snapToGrid w:val="0"/>
        <w:spacing w:line="312" w:lineRule="auto"/>
        <w:ind w:left="709"/>
        <w:contextualSpacing w:val="0"/>
        <w:jc w:val="left"/>
        <w:rPr>
          <w:color w:val="000000" w:themeColor="text1"/>
        </w:rPr>
      </w:pPr>
    </w:p>
    <w:p w14:paraId="26AF0282" w14:textId="22FFF345" w:rsidR="00CA4AC3" w:rsidRPr="00B81CD9" w:rsidRDefault="00CA4AC3" w:rsidP="00EE2743">
      <w:pPr>
        <w:pStyle w:val="ListParagraph"/>
        <w:snapToGrid w:val="0"/>
        <w:spacing w:line="312" w:lineRule="auto"/>
        <w:ind w:left="709"/>
        <w:contextualSpacing w:val="0"/>
        <w:jc w:val="left"/>
        <w:rPr>
          <w:color w:val="000000" w:themeColor="text1"/>
        </w:rPr>
      </w:pPr>
    </w:p>
    <w:p w14:paraId="502460D4" w14:textId="268FCA2D" w:rsidR="00CA4AC3" w:rsidRPr="00B81CD9" w:rsidRDefault="00CA4AC3" w:rsidP="00EE2743">
      <w:pPr>
        <w:pStyle w:val="ListParagraph"/>
        <w:snapToGrid w:val="0"/>
        <w:spacing w:line="312" w:lineRule="auto"/>
        <w:ind w:left="709"/>
        <w:contextualSpacing w:val="0"/>
        <w:jc w:val="left"/>
        <w:rPr>
          <w:color w:val="000000" w:themeColor="text1"/>
        </w:rPr>
      </w:pPr>
      <w:r w:rsidRPr="00B81CD9">
        <w:rPr>
          <w:color w:val="000000" w:themeColor="text1"/>
        </w:rPr>
        <w:t xml:space="preserve">Cybersecurity: The Audit and Risk Committee considered quarterly reports throughout </w:t>
      </w:r>
      <w:r w:rsidR="00BA16D6" w:rsidRPr="00B81CD9">
        <w:rPr>
          <w:color w:val="000000" w:themeColor="text1"/>
        </w:rPr>
        <w:t>2023/24</w:t>
      </w:r>
      <w:r w:rsidR="003974DC" w:rsidRPr="00B81CD9">
        <w:rPr>
          <w:color w:val="000000" w:themeColor="text1"/>
        </w:rPr>
        <w:t>.</w:t>
      </w:r>
    </w:p>
    <w:p w14:paraId="662D0957" w14:textId="77777777" w:rsidR="00EE2743" w:rsidRPr="00B81CD9" w:rsidRDefault="00EE2743" w:rsidP="00BA16D6">
      <w:pPr>
        <w:snapToGrid w:val="0"/>
        <w:spacing w:line="312" w:lineRule="auto"/>
        <w:jc w:val="left"/>
        <w:rPr>
          <w:color w:val="000000" w:themeColor="text1"/>
        </w:rPr>
      </w:pPr>
    </w:p>
    <w:tbl>
      <w:tblPr>
        <w:tblStyle w:val="TableGrid"/>
        <w:tblW w:w="0" w:type="auto"/>
        <w:tblInd w:w="709" w:type="dxa"/>
        <w:tblLook w:val="04A0" w:firstRow="1" w:lastRow="0" w:firstColumn="1" w:lastColumn="0" w:noHBand="0" w:noVBand="1"/>
      </w:tblPr>
      <w:tblGrid>
        <w:gridCol w:w="9100"/>
      </w:tblGrid>
      <w:tr w:rsidR="00BF0879" w:rsidRPr="00B81CD9" w14:paraId="63C9AE74" w14:textId="77777777" w:rsidTr="254A9DA0">
        <w:trPr>
          <w:trHeight w:val="1480"/>
        </w:trPr>
        <w:tc>
          <w:tcPr>
            <w:tcW w:w="9100" w:type="dxa"/>
            <w:shd w:val="clear" w:color="auto" w:fill="D9D9D9" w:themeFill="background1" w:themeFillShade="D9"/>
          </w:tcPr>
          <w:p w14:paraId="22C9A9BA" w14:textId="57D78976" w:rsidR="00EE6966" w:rsidRPr="00B81CD9" w:rsidRDefault="254A9DA0" w:rsidP="002C3768">
            <w:pPr>
              <w:pStyle w:val="ListParagraph"/>
              <w:shd w:val="clear" w:color="auto" w:fill="auto"/>
              <w:snapToGrid w:val="0"/>
              <w:spacing w:before="240" w:after="120" w:line="312" w:lineRule="auto"/>
              <w:ind w:left="0"/>
              <w:contextualSpacing w:val="0"/>
              <w:jc w:val="left"/>
              <w:rPr>
                <w:b/>
                <w:color w:val="000000" w:themeColor="text1"/>
              </w:rPr>
            </w:pPr>
            <w:r w:rsidRPr="00B81CD9">
              <w:rPr>
                <w:b/>
                <w:color w:val="000000" w:themeColor="text1"/>
              </w:rPr>
              <w:t xml:space="preserve">The Audit </w:t>
            </w:r>
            <w:r w:rsidR="001B323C" w:rsidRPr="00B81CD9">
              <w:rPr>
                <w:b/>
                <w:color w:val="000000" w:themeColor="text1"/>
              </w:rPr>
              <w:t xml:space="preserve">and Risk </w:t>
            </w:r>
            <w:r w:rsidRPr="00B81CD9">
              <w:rPr>
                <w:b/>
                <w:color w:val="000000" w:themeColor="text1"/>
              </w:rPr>
              <w:t>Committee is satisfied that the University’s risk management</w:t>
            </w:r>
            <w:r w:rsidR="00302D98" w:rsidRPr="00B81CD9">
              <w:rPr>
                <w:b/>
                <w:color w:val="000000" w:themeColor="text1"/>
              </w:rPr>
              <w:t>/</w:t>
            </w:r>
            <w:r w:rsidRPr="00B81CD9">
              <w:rPr>
                <w:b/>
                <w:color w:val="000000" w:themeColor="text1"/>
              </w:rPr>
              <w:t xml:space="preserve"> arrangements are effective</w:t>
            </w:r>
            <w:r w:rsidR="001C290C" w:rsidRPr="00B81CD9">
              <w:rPr>
                <w:b/>
                <w:color w:val="000000" w:themeColor="text1"/>
              </w:rPr>
              <w:t>.</w:t>
            </w:r>
          </w:p>
        </w:tc>
      </w:tr>
    </w:tbl>
    <w:p w14:paraId="4B3696C5" w14:textId="23EAB45F" w:rsidR="009D67D1" w:rsidRPr="00B81CD9" w:rsidRDefault="00DC273F" w:rsidP="007141C5">
      <w:pPr>
        <w:snapToGrid w:val="0"/>
        <w:spacing w:before="480" w:line="312" w:lineRule="auto"/>
        <w:jc w:val="left"/>
        <w:rPr>
          <w:rFonts w:cs="Arial"/>
          <w:i/>
          <w:iCs/>
          <w:color w:val="000000" w:themeColor="text1"/>
          <w:szCs w:val="22"/>
        </w:rPr>
      </w:pPr>
      <w:r w:rsidRPr="00B81CD9">
        <w:rPr>
          <w:rFonts w:cs="Arial"/>
          <w:i/>
          <w:iCs/>
          <w:color w:val="000000" w:themeColor="text1"/>
          <w:szCs w:val="22"/>
        </w:rPr>
        <w:t>I</w:t>
      </w:r>
      <w:r w:rsidR="00DB09DB" w:rsidRPr="00B81CD9">
        <w:rPr>
          <w:rFonts w:cs="Arial"/>
          <w:i/>
          <w:iCs/>
          <w:color w:val="000000" w:themeColor="text1"/>
          <w:szCs w:val="22"/>
        </w:rPr>
        <w:t>nternal C</w:t>
      </w:r>
      <w:r w:rsidRPr="00B81CD9">
        <w:rPr>
          <w:rFonts w:cs="Arial"/>
          <w:i/>
          <w:iCs/>
          <w:color w:val="000000" w:themeColor="text1"/>
          <w:szCs w:val="22"/>
        </w:rPr>
        <w:t>ontrol</w:t>
      </w:r>
      <w:r w:rsidR="007141C5" w:rsidRPr="00B81CD9">
        <w:rPr>
          <w:rFonts w:cs="Arial"/>
          <w:i/>
          <w:iCs/>
          <w:color w:val="000000" w:themeColor="text1"/>
          <w:szCs w:val="22"/>
        </w:rPr>
        <w:t xml:space="preserve"> and Governance</w:t>
      </w:r>
    </w:p>
    <w:p w14:paraId="3E9EB0E1" w14:textId="7EF5B02E" w:rsidR="00DC62B7" w:rsidRPr="00B81CD9" w:rsidRDefault="007141C5">
      <w:pPr>
        <w:pStyle w:val="ListParagraph"/>
        <w:numPr>
          <w:ilvl w:val="1"/>
          <w:numId w:val="3"/>
        </w:numPr>
        <w:snapToGrid w:val="0"/>
        <w:spacing w:before="240" w:line="312" w:lineRule="auto"/>
        <w:ind w:left="709" w:hanging="709"/>
        <w:contextualSpacing w:val="0"/>
        <w:jc w:val="left"/>
        <w:rPr>
          <w:color w:val="000000" w:themeColor="text1"/>
        </w:rPr>
      </w:pPr>
      <w:r w:rsidRPr="00B81CD9">
        <w:rPr>
          <w:color w:val="000000" w:themeColor="text1"/>
        </w:rPr>
        <w:t>T</w:t>
      </w:r>
      <w:r w:rsidRPr="00B81CD9">
        <w:rPr>
          <w:rFonts w:eastAsia="Times New Roman" w:cs="Arial"/>
          <w:color w:val="000000" w:themeColor="text1"/>
          <w:kern w:val="0"/>
          <w:lang w:val="en-GB"/>
        </w:rPr>
        <w:t xml:space="preserve">he Committee considered the </w:t>
      </w:r>
      <w:r w:rsidR="00DB15FD" w:rsidRPr="00B81CD9">
        <w:rPr>
          <w:rFonts w:eastAsia="Times New Roman" w:cs="Arial"/>
          <w:color w:val="000000" w:themeColor="text1"/>
          <w:kern w:val="0"/>
          <w:lang w:val="en-GB"/>
        </w:rPr>
        <w:t>2024/25</w:t>
      </w:r>
      <w:r w:rsidR="004B5AB1" w:rsidRPr="00B81CD9">
        <w:rPr>
          <w:rFonts w:eastAsia="Times New Roman" w:cs="Arial"/>
          <w:color w:val="000000" w:themeColor="text1"/>
          <w:kern w:val="0"/>
          <w:lang w:val="en-GB"/>
        </w:rPr>
        <w:t xml:space="preserve"> </w:t>
      </w:r>
      <w:r w:rsidR="001B7339" w:rsidRPr="00B81CD9">
        <w:rPr>
          <w:rFonts w:eastAsia="Times New Roman" w:cs="Arial"/>
          <w:color w:val="000000" w:themeColor="text1"/>
          <w:kern w:val="0"/>
          <w:lang w:val="en-GB"/>
        </w:rPr>
        <w:t xml:space="preserve">Statement of </w:t>
      </w:r>
      <w:r w:rsidRPr="00B81CD9">
        <w:rPr>
          <w:rFonts w:eastAsia="Times New Roman" w:cs="Arial"/>
          <w:color w:val="000000" w:themeColor="text1"/>
          <w:kern w:val="0"/>
          <w:lang w:val="en-GB"/>
        </w:rPr>
        <w:t xml:space="preserve">Corporate Governance Statement and Internal Control as part of the draft financial statements at its meeting on </w:t>
      </w:r>
      <w:r w:rsidR="00BA16D6" w:rsidRPr="00B81CD9">
        <w:rPr>
          <w:rFonts w:eastAsia="Times New Roman" w:cs="Arial"/>
          <w:color w:val="000000" w:themeColor="text1"/>
          <w:kern w:val="0"/>
          <w:lang w:val="en-GB"/>
        </w:rPr>
        <w:t>1</w:t>
      </w:r>
      <w:r w:rsidR="00DB15FD" w:rsidRPr="00B81CD9">
        <w:rPr>
          <w:rFonts w:eastAsia="Times New Roman" w:cs="Arial"/>
          <w:color w:val="000000" w:themeColor="text1"/>
          <w:kern w:val="0"/>
          <w:lang w:val="en-GB"/>
        </w:rPr>
        <w:t>0</w:t>
      </w:r>
      <w:r w:rsidR="001B323C" w:rsidRPr="00B81CD9">
        <w:rPr>
          <w:rFonts w:eastAsia="Times New Roman" w:cs="Arial"/>
          <w:color w:val="000000" w:themeColor="text1"/>
          <w:kern w:val="0"/>
          <w:lang w:val="en-GB"/>
        </w:rPr>
        <w:t xml:space="preserve"> November </w:t>
      </w:r>
      <w:r w:rsidR="00BA16D6" w:rsidRPr="00B81CD9">
        <w:rPr>
          <w:rFonts w:eastAsia="Times New Roman" w:cs="Arial"/>
          <w:color w:val="000000" w:themeColor="text1"/>
          <w:kern w:val="0"/>
          <w:lang w:val="en-GB"/>
        </w:rPr>
        <w:t>202</w:t>
      </w:r>
      <w:r w:rsidR="00DB15FD" w:rsidRPr="00B81CD9">
        <w:rPr>
          <w:rFonts w:eastAsia="Times New Roman" w:cs="Arial"/>
          <w:color w:val="000000" w:themeColor="text1"/>
          <w:kern w:val="0"/>
          <w:lang w:val="en-GB"/>
        </w:rPr>
        <w:t>5</w:t>
      </w:r>
      <w:r w:rsidR="00FC35E2" w:rsidRPr="00B81CD9">
        <w:rPr>
          <w:rFonts w:eastAsia="Times New Roman" w:cs="Arial"/>
          <w:color w:val="000000" w:themeColor="text1"/>
          <w:kern w:val="0"/>
          <w:lang w:val="en-GB"/>
        </w:rPr>
        <w:t xml:space="preserve"> </w:t>
      </w:r>
      <w:r w:rsidRPr="00B81CD9">
        <w:rPr>
          <w:rFonts w:eastAsia="Times New Roman" w:cs="Arial"/>
          <w:color w:val="000000" w:themeColor="text1"/>
          <w:kern w:val="0"/>
          <w:lang w:val="en-GB"/>
        </w:rPr>
        <w:t>and considers them to be accurate.</w:t>
      </w:r>
      <w:r w:rsidR="00B60F4A" w:rsidRPr="00B81CD9">
        <w:rPr>
          <w:rFonts w:eastAsia="Times New Roman" w:cs="Arial"/>
          <w:color w:val="000000" w:themeColor="text1"/>
          <w:kern w:val="0"/>
          <w:lang w:val="en-GB"/>
        </w:rPr>
        <w:t xml:space="preserve"> </w:t>
      </w:r>
      <w:r w:rsidR="003C559A" w:rsidRPr="00B81CD9">
        <w:rPr>
          <w:color w:val="000000" w:themeColor="text1"/>
        </w:rPr>
        <w:t>Deloitte</w:t>
      </w:r>
      <w:r w:rsidR="00EE6966" w:rsidRPr="00B81CD9">
        <w:rPr>
          <w:color w:val="000000" w:themeColor="text1"/>
        </w:rPr>
        <w:t xml:space="preserve">’s view on the University’s operational control environment and </w:t>
      </w:r>
      <w:r w:rsidR="00684C56" w:rsidRPr="00B81CD9">
        <w:rPr>
          <w:color w:val="000000" w:themeColor="text1"/>
        </w:rPr>
        <w:t>g</w:t>
      </w:r>
      <w:r w:rsidR="00E83944" w:rsidRPr="00B81CD9">
        <w:rPr>
          <w:color w:val="000000" w:themeColor="text1"/>
        </w:rPr>
        <w:t xml:space="preserve">overnance arrangements for </w:t>
      </w:r>
      <w:r w:rsidR="00DB15FD" w:rsidRPr="00B81CD9">
        <w:rPr>
          <w:color w:val="000000" w:themeColor="text1"/>
        </w:rPr>
        <w:t>2024/25</w:t>
      </w:r>
      <w:r w:rsidR="00E83944" w:rsidRPr="00B81CD9">
        <w:rPr>
          <w:color w:val="000000" w:themeColor="text1"/>
        </w:rPr>
        <w:t xml:space="preserve"> </w:t>
      </w:r>
      <w:r w:rsidRPr="00B81CD9">
        <w:rPr>
          <w:color w:val="000000" w:themeColor="text1"/>
        </w:rPr>
        <w:t>is</w:t>
      </w:r>
      <w:r w:rsidR="00EE6966" w:rsidRPr="00B81CD9">
        <w:rPr>
          <w:color w:val="000000" w:themeColor="text1"/>
        </w:rPr>
        <w:t xml:space="preserve"> underpinned by the audit reviews it had performed during the year. </w:t>
      </w:r>
    </w:p>
    <w:p w14:paraId="4C40B442" w14:textId="4B90F38A" w:rsidR="009C1FC7" w:rsidRPr="00B81CD9" w:rsidRDefault="254A9DA0">
      <w:pPr>
        <w:pStyle w:val="ListParagraph"/>
        <w:numPr>
          <w:ilvl w:val="1"/>
          <w:numId w:val="3"/>
        </w:numPr>
        <w:snapToGrid w:val="0"/>
        <w:spacing w:before="240" w:line="312" w:lineRule="auto"/>
        <w:ind w:left="709" w:hanging="709"/>
        <w:contextualSpacing w:val="0"/>
        <w:jc w:val="left"/>
        <w:rPr>
          <w:i/>
          <w:iCs/>
          <w:color w:val="000000" w:themeColor="text1"/>
        </w:rPr>
      </w:pPr>
      <w:r w:rsidRPr="00B81CD9">
        <w:rPr>
          <w:color w:val="000000" w:themeColor="text1"/>
        </w:rPr>
        <w:t xml:space="preserve">Oversight of governance arrangements is primarily the responsibility of the University’s Governance </w:t>
      </w:r>
      <w:r w:rsidR="00173249" w:rsidRPr="00B81CD9">
        <w:rPr>
          <w:color w:val="000000" w:themeColor="text1"/>
        </w:rPr>
        <w:t xml:space="preserve">Committee.  As part of its </w:t>
      </w:r>
      <w:r w:rsidR="00DB15FD" w:rsidRPr="00B81CD9">
        <w:rPr>
          <w:color w:val="000000" w:themeColor="text1"/>
        </w:rPr>
        <w:t>2024/25</w:t>
      </w:r>
      <w:r w:rsidRPr="00B81CD9">
        <w:rPr>
          <w:color w:val="000000" w:themeColor="text1"/>
        </w:rPr>
        <w:t xml:space="preserve"> work </w:t>
      </w:r>
      <w:proofErr w:type="spellStart"/>
      <w:r w:rsidRPr="00B81CD9">
        <w:rPr>
          <w:color w:val="000000" w:themeColor="text1"/>
        </w:rPr>
        <w:t>programme</w:t>
      </w:r>
      <w:proofErr w:type="spellEnd"/>
      <w:r w:rsidRPr="00B81CD9">
        <w:rPr>
          <w:color w:val="000000" w:themeColor="text1"/>
        </w:rPr>
        <w:t xml:space="preserve">, the Governance Committee </w:t>
      </w:r>
      <w:r w:rsidR="00A71397" w:rsidRPr="00B81CD9">
        <w:rPr>
          <w:color w:val="000000" w:themeColor="text1"/>
        </w:rPr>
        <w:t xml:space="preserve">considered </w:t>
      </w:r>
      <w:r w:rsidR="004B5AB1" w:rsidRPr="00B81CD9">
        <w:rPr>
          <w:color w:val="000000" w:themeColor="text1"/>
        </w:rPr>
        <w:t>a</w:t>
      </w:r>
      <w:r w:rsidRPr="00B81CD9">
        <w:rPr>
          <w:color w:val="000000" w:themeColor="text1"/>
        </w:rPr>
        <w:t xml:space="preserve"> mapping exercise of the University’s governance arrangements against the </w:t>
      </w:r>
      <w:r w:rsidR="00FC35E2" w:rsidRPr="00B81CD9">
        <w:rPr>
          <w:color w:val="000000" w:themeColor="text1"/>
        </w:rPr>
        <w:t xml:space="preserve">revised </w:t>
      </w:r>
      <w:r w:rsidRPr="00B81CD9">
        <w:rPr>
          <w:color w:val="000000" w:themeColor="text1"/>
        </w:rPr>
        <w:t>CUC’s Higher Education Code of Governance</w:t>
      </w:r>
      <w:r w:rsidR="00FC35E2" w:rsidRPr="00B81CD9">
        <w:rPr>
          <w:color w:val="000000" w:themeColor="text1"/>
        </w:rPr>
        <w:t xml:space="preserve"> issued in September 2020</w:t>
      </w:r>
      <w:r w:rsidRPr="00B81CD9">
        <w:rPr>
          <w:color w:val="000000" w:themeColor="text1"/>
        </w:rPr>
        <w:t>, which sets out principles and practices that higher education institutions ought to apply</w:t>
      </w:r>
      <w:r w:rsidRPr="00B81CD9">
        <w:rPr>
          <w:i/>
          <w:iCs/>
          <w:color w:val="000000" w:themeColor="text1"/>
        </w:rPr>
        <w:t xml:space="preserve">. </w:t>
      </w:r>
      <w:r w:rsidR="00882BFD" w:rsidRPr="00B81CD9">
        <w:rPr>
          <w:color w:val="000000" w:themeColor="text1"/>
        </w:rPr>
        <w:t>As a result of this exercise, the Governance Committee was satisfied that there were no fundamental gaps in London Met’s governance arrangements and that they measured up well against all the Code’s elements.</w:t>
      </w:r>
      <w:r w:rsidR="001B323C" w:rsidRPr="00B81CD9">
        <w:rPr>
          <w:color w:val="000000" w:themeColor="text1"/>
        </w:rPr>
        <w:t xml:space="preserve"> An externally led Governance Review </w:t>
      </w:r>
      <w:r w:rsidR="002F1038" w:rsidRPr="00B81CD9">
        <w:rPr>
          <w:color w:val="000000" w:themeColor="text1"/>
        </w:rPr>
        <w:t>took place in 2022/23</w:t>
      </w:r>
      <w:r w:rsidR="009C1FC7" w:rsidRPr="00B81CD9">
        <w:rPr>
          <w:color w:val="000000" w:themeColor="text1"/>
        </w:rPr>
        <w:t xml:space="preserve">. </w:t>
      </w:r>
      <w:r w:rsidR="009C1FC7" w:rsidRPr="00B81CD9">
        <w:rPr>
          <w:rFonts w:asciiTheme="minorBidi" w:hAnsiTheme="minorBidi"/>
          <w:color w:val="000000" w:themeColor="text1"/>
        </w:rPr>
        <w:t xml:space="preserve">In presenting the recommendations Advance HE conveyed positive findings and </w:t>
      </w:r>
      <w:r w:rsidR="009C1FC7" w:rsidRPr="00B81CD9">
        <w:rPr>
          <w:rFonts w:asciiTheme="minorBidi" w:eastAsia="PMingLiU" w:hAnsiTheme="minorBidi"/>
          <w:color w:val="000000" w:themeColor="text1"/>
          <w:kern w:val="2"/>
          <w:lang w:eastAsia="zh-TW"/>
        </w:rPr>
        <w:t>emphasized that the University was well-placed in respect of its governance and compliance arrangements. Notably, the diversity of the Board was acknowledged as exceptional within the sector. The recommendations build upon existing mechanisms already in place or previously identified by the University for implementation, indicating that progress is already underway. The Board of Governors entrusted the Governance Committee with the responsibility of monitoring the implementation of the recommendations (all of which were accepted by the Board) and suggestions going forward.</w:t>
      </w:r>
      <w:r w:rsidR="00BA16D6" w:rsidRPr="00B81CD9">
        <w:rPr>
          <w:rFonts w:asciiTheme="minorBidi" w:eastAsia="PMingLiU" w:hAnsiTheme="minorBidi"/>
          <w:color w:val="000000" w:themeColor="text1"/>
          <w:kern w:val="2"/>
          <w:lang w:eastAsia="zh-TW"/>
        </w:rPr>
        <w:t xml:space="preserve"> At their meeting in March 2024, the Governance Committee confirmed that all agreed actions identified as part of the Governance Review had been satisfactorily implemented.</w:t>
      </w:r>
      <w:r w:rsidR="00DB15FD" w:rsidRPr="00B81CD9">
        <w:rPr>
          <w:rFonts w:asciiTheme="minorBidi" w:eastAsia="PMingLiU" w:hAnsiTheme="minorBidi"/>
          <w:color w:val="000000" w:themeColor="text1"/>
          <w:kern w:val="2"/>
          <w:lang w:eastAsia="zh-TW"/>
        </w:rPr>
        <w:t xml:space="preserve"> A further Governance Review is scheduled to take place in 2026.</w:t>
      </w:r>
    </w:p>
    <w:p w14:paraId="0441D6E3" w14:textId="15D9758C" w:rsidR="003974DC" w:rsidRPr="00B81CD9" w:rsidRDefault="003974DC">
      <w:pPr>
        <w:pStyle w:val="ListParagraph"/>
        <w:numPr>
          <w:ilvl w:val="1"/>
          <w:numId w:val="3"/>
        </w:numPr>
        <w:snapToGrid w:val="0"/>
        <w:spacing w:before="240" w:line="312" w:lineRule="auto"/>
        <w:ind w:left="709" w:hanging="709"/>
        <w:contextualSpacing w:val="0"/>
        <w:jc w:val="left"/>
        <w:rPr>
          <w:i/>
          <w:iCs/>
          <w:color w:val="000000" w:themeColor="text1"/>
        </w:rPr>
      </w:pPr>
      <w:r w:rsidRPr="00B81CD9">
        <w:rPr>
          <w:color w:val="000000" w:themeColor="text1"/>
        </w:rPr>
        <w:t xml:space="preserve">The Governing Body strives to be consistent with the guidance from the Committee of University Chairs (CUC) and to comply with all essential elements of the CUC’s Higher Education Code of Governance and Higher Education Senior Staff Remuneration Code. The Committee is satisfied that the Corporate Governance Statement in the Report and Financial Statements for the year ended 31st July </w:t>
      </w:r>
      <w:r w:rsidR="00BA16D6" w:rsidRPr="00B81CD9">
        <w:rPr>
          <w:color w:val="000000" w:themeColor="text1"/>
        </w:rPr>
        <w:t>202</w:t>
      </w:r>
      <w:r w:rsidR="00DB15FD" w:rsidRPr="00B81CD9">
        <w:rPr>
          <w:color w:val="000000" w:themeColor="text1"/>
        </w:rPr>
        <w:t>5</w:t>
      </w:r>
      <w:r w:rsidRPr="00B81CD9">
        <w:rPr>
          <w:color w:val="000000" w:themeColor="text1"/>
        </w:rPr>
        <w:t xml:space="preserve"> is a reasonable summary of how the principles of corporate governance have been and continue to be applied in the University.</w:t>
      </w:r>
    </w:p>
    <w:p w14:paraId="0CF3A5AD" w14:textId="77777777" w:rsidR="007141C5" w:rsidRPr="00B81CD9" w:rsidRDefault="007141C5" w:rsidP="00464048">
      <w:pPr>
        <w:snapToGrid w:val="0"/>
        <w:spacing w:line="312" w:lineRule="auto"/>
        <w:jc w:val="left"/>
        <w:rPr>
          <w:color w:val="000000" w:themeColor="text1"/>
        </w:rPr>
      </w:pPr>
    </w:p>
    <w:tbl>
      <w:tblPr>
        <w:tblStyle w:val="TableGrid"/>
        <w:tblW w:w="0" w:type="auto"/>
        <w:tblInd w:w="675" w:type="dxa"/>
        <w:tblLook w:val="04A0" w:firstRow="1" w:lastRow="0" w:firstColumn="1" w:lastColumn="0" w:noHBand="0" w:noVBand="1"/>
      </w:tblPr>
      <w:tblGrid>
        <w:gridCol w:w="9134"/>
      </w:tblGrid>
      <w:tr w:rsidR="00BF0879" w:rsidRPr="00B81CD9" w14:paraId="3450B90B" w14:textId="77777777" w:rsidTr="254A9DA0">
        <w:trPr>
          <w:trHeight w:val="274"/>
        </w:trPr>
        <w:tc>
          <w:tcPr>
            <w:tcW w:w="9134" w:type="dxa"/>
            <w:shd w:val="clear" w:color="auto" w:fill="D9D9D9" w:themeFill="background1" w:themeFillShade="D9"/>
          </w:tcPr>
          <w:p w14:paraId="4A4781F0" w14:textId="76FF50DA" w:rsidR="007141C5" w:rsidRPr="00B81CD9" w:rsidRDefault="254A9DA0" w:rsidP="00BC2D31">
            <w:pPr>
              <w:pStyle w:val="ListParagraph"/>
              <w:shd w:val="clear" w:color="auto" w:fill="auto"/>
              <w:snapToGrid w:val="0"/>
              <w:spacing w:before="240" w:after="120" w:line="312" w:lineRule="auto"/>
              <w:ind w:left="0"/>
              <w:contextualSpacing w:val="0"/>
              <w:jc w:val="left"/>
              <w:rPr>
                <w:b/>
                <w:color w:val="000000" w:themeColor="text1"/>
              </w:rPr>
            </w:pPr>
            <w:r w:rsidRPr="00B81CD9">
              <w:rPr>
                <w:b/>
                <w:color w:val="000000" w:themeColor="text1"/>
              </w:rPr>
              <w:t xml:space="preserve">The Audit </w:t>
            </w:r>
            <w:r w:rsidR="001B323C" w:rsidRPr="00B81CD9">
              <w:rPr>
                <w:b/>
                <w:color w:val="000000" w:themeColor="text1"/>
              </w:rPr>
              <w:t xml:space="preserve">and Risk </w:t>
            </w:r>
            <w:r w:rsidRPr="00B81CD9">
              <w:rPr>
                <w:b/>
                <w:color w:val="000000" w:themeColor="text1"/>
              </w:rPr>
              <w:t xml:space="preserve">Committee is satisfied that the University’s internal control and governance arrangements are effective.  </w:t>
            </w:r>
          </w:p>
        </w:tc>
      </w:tr>
    </w:tbl>
    <w:p w14:paraId="17D7A135" w14:textId="60C6CAEF" w:rsidR="00DB09DB" w:rsidRPr="00B81CD9" w:rsidRDefault="00DB09DB" w:rsidP="007141C5">
      <w:pPr>
        <w:snapToGrid w:val="0"/>
        <w:spacing w:before="480" w:line="312" w:lineRule="auto"/>
        <w:jc w:val="left"/>
        <w:rPr>
          <w:rFonts w:cs="Arial"/>
          <w:i/>
          <w:iCs/>
          <w:color w:val="000000" w:themeColor="text1"/>
          <w:szCs w:val="22"/>
        </w:rPr>
      </w:pPr>
      <w:r w:rsidRPr="00B81CD9">
        <w:rPr>
          <w:rFonts w:cs="Arial"/>
          <w:i/>
          <w:iCs/>
          <w:color w:val="000000" w:themeColor="text1"/>
          <w:szCs w:val="22"/>
        </w:rPr>
        <w:t xml:space="preserve">Economy, Efficiency and </w:t>
      </w:r>
      <w:r w:rsidR="007656FC" w:rsidRPr="00B81CD9">
        <w:rPr>
          <w:rFonts w:cs="Arial"/>
          <w:i/>
          <w:iCs/>
          <w:color w:val="000000" w:themeColor="text1"/>
          <w:szCs w:val="22"/>
        </w:rPr>
        <w:t>E</w:t>
      </w:r>
      <w:r w:rsidRPr="00B81CD9">
        <w:rPr>
          <w:rFonts w:cs="Arial"/>
          <w:i/>
          <w:iCs/>
          <w:color w:val="000000" w:themeColor="text1"/>
          <w:szCs w:val="22"/>
        </w:rPr>
        <w:t>ffectiveness (Value for Money).</w:t>
      </w:r>
    </w:p>
    <w:p w14:paraId="33245ADE" w14:textId="2C737186" w:rsidR="00AE2608" w:rsidRPr="00B81CD9" w:rsidRDefault="254A9DA0">
      <w:pPr>
        <w:pStyle w:val="ListParagraph"/>
        <w:numPr>
          <w:ilvl w:val="1"/>
          <w:numId w:val="3"/>
        </w:numPr>
        <w:snapToGrid w:val="0"/>
        <w:spacing w:before="240" w:line="312" w:lineRule="auto"/>
        <w:jc w:val="left"/>
        <w:rPr>
          <w:color w:val="000000" w:themeColor="text1"/>
        </w:rPr>
      </w:pPr>
      <w:r w:rsidRPr="00B81CD9">
        <w:rPr>
          <w:color w:val="000000" w:themeColor="text1"/>
        </w:rPr>
        <w:t xml:space="preserve">Value for money is an integral objective of London Metropolitan University’s systems of internal control.  </w:t>
      </w:r>
      <w:r w:rsidR="00AE2608" w:rsidRPr="00B81CD9">
        <w:rPr>
          <w:color w:val="000000" w:themeColor="text1"/>
        </w:rPr>
        <w:t>The Internal Audit annual report includes the Internal Auditor’s opinion on the adequacy and effectiveness of the University’s arrangements for risk man</w:t>
      </w:r>
      <w:r w:rsidR="00BC2D31" w:rsidRPr="00B81CD9">
        <w:rPr>
          <w:color w:val="000000" w:themeColor="text1"/>
        </w:rPr>
        <w:t>agement, internal control and governance.</w:t>
      </w:r>
      <w:r w:rsidR="001B323C" w:rsidRPr="00B81CD9">
        <w:rPr>
          <w:color w:val="000000" w:themeColor="text1"/>
        </w:rPr>
        <w:t xml:space="preserve"> The Audit and Risk Committee considered a value for money update at its </w:t>
      </w:r>
      <w:r w:rsidR="00BA16D6" w:rsidRPr="00B81CD9">
        <w:rPr>
          <w:color w:val="000000" w:themeColor="text1"/>
        </w:rPr>
        <w:t xml:space="preserve">February </w:t>
      </w:r>
      <w:r w:rsidR="00DB15FD" w:rsidRPr="00B81CD9">
        <w:rPr>
          <w:color w:val="000000" w:themeColor="text1"/>
        </w:rPr>
        <w:t>2025</w:t>
      </w:r>
      <w:r w:rsidR="00BA16D6" w:rsidRPr="00B81CD9">
        <w:rPr>
          <w:color w:val="000000" w:themeColor="text1"/>
        </w:rPr>
        <w:t xml:space="preserve"> meeting.</w:t>
      </w:r>
    </w:p>
    <w:p w14:paraId="632E9735" w14:textId="46212C83" w:rsidR="00263E68" w:rsidRPr="00B81CD9" w:rsidRDefault="00AE2608">
      <w:pPr>
        <w:pStyle w:val="ListParagraph"/>
        <w:numPr>
          <w:ilvl w:val="1"/>
          <w:numId w:val="3"/>
        </w:numPr>
        <w:snapToGrid w:val="0"/>
        <w:spacing w:before="240" w:line="312" w:lineRule="auto"/>
        <w:contextualSpacing w:val="0"/>
        <w:jc w:val="left"/>
        <w:rPr>
          <w:color w:val="000000" w:themeColor="text1"/>
        </w:rPr>
      </w:pPr>
      <w:r w:rsidRPr="00B81CD9">
        <w:rPr>
          <w:color w:val="000000" w:themeColor="text1"/>
        </w:rPr>
        <w:t>Economy, efficiency and effectiveness.</w:t>
      </w:r>
    </w:p>
    <w:tbl>
      <w:tblPr>
        <w:tblStyle w:val="TableGrid"/>
        <w:tblW w:w="0" w:type="auto"/>
        <w:tblInd w:w="709" w:type="dxa"/>
        <w:tblLook w:val="04A0" w:firstRow="1" w:lastRow="0" w:firstColumn="1" w:lastColumn="0" w:noHBand="0" w:noVBand="1"/>
      </w:tblPr>
      <w:tblGrid>
        <w:gridCol w:w="9100"/>
      </w:tblGrid>
      <w:tr w:rsidR="00BF0879" w:rsidRPr="00B81CD9" w14:paraId="3E65132F" w14:textId="77777777" w:rsidTr="254A9DA0">
        <w:trPr>
          <w:trHeight w:val="1262"/>
        </w:trPr>
        <w:tc>
          <w:tcPr>
            <w:tcW w:w="9100" w:type="dxa"/>
            <w:shd w:val="clear" w:color="auto" w:fill="D9D9D9" w:themeFill="background1" w:themeFillShade="D9"/>
          </w:tcPr>
          <w:p w14:paraId="7FA70DA1" w14:textId="4546B3EF" w:rsidR="007141C5" w:rsidRPr="00B81CD9" w:rsidRDefault="254A9DA0" w:rsidP="00CB16CF">
            <w:pPr>
              <w:pStyle w:val="ListParagraph"/>
              <w:shd w:val="clear" w:color="auto" w:fill="auto"/>
              <w:snapToGrid w:val="0"/>
              <w:spacing w:before="240" w:after="120" w:line="312" w:lineRule="auto"/>
              <w:ind w:left="0"/>
              <w:contextualSpacing w:val="0"/>
              <w:jc w:val="left"/>
              <w:rPr>
                <w:b/>
                <w:bCs w:val="0"/>
                <w:color w:val="000000" w:themeColor="text1"/>
              </w:rPr>
            </w:pPr>
            <w:r w:rsidRPr="00B81CD9">
              <w:rPr>
                <w:b/>
                <w:color w:val="000000" w:themeColor="text1"/>
              </w:rPr>
              <w:t xml:space="preserve">The Audit </w:t>
            </w:r>
            <w:r w:rsidR="00C733DB" w:rsidRPr="00B81CD9">
              <w:rPr>
                <w:b/>
                <w:color w:val="000000" w:themeColor="text1"/>
              </w:rPr>
              <w:t xml:space="preserve">and Risk </w:t>
            </w:r>
            <w:r w:rsidRPr="00B81CD9">
              <w:rPr>
                <w:b/>
                <w:color w:val="000000" w:themeColor="text1"/>
              </w:rPr>
              <w:t>Committee is satisfied that the University management strives to achieve value for money in its activities.</w:t>
            </w:r>
          </w:p>
          <w:p w14:paraId="46C2E8AD" w14:textId="77777777" w:rsidR="007141C5" w:rsidRPr="00B81CD9" w:rsidRDefault="254A9DA0" w:rsidP="005A2BEB">
            <w:pPr>
              <w:pStyle w:val="ListParagraph"/>
              <w:shd w:val="clear" w:color="auto" w:fill="auto"/>
              <w:snapToGrid w:val="0"/>
              <w:spacing w:before="240" w:after="120" w:line="312" w:lineRule="auto"/>
              <w:ind w:left="0"/>
              <w:contextualSpacing w:val="0"/>
              <w:jc w:val="left"/>
              <w:rPr>
                <w:b/>
                <w:bCs w:val="0"/>
                <w:color w:val="000000" w:themeColor="text1"/>
              </w:rPr>
            </w:pPr>
            <w:r w:rsidRPr="00B81CD9">
              <w:rPr>
                <w:b/>
                <w:color w:val="000000" w:themeColor="text1"/>
              </w:rPr>
              <w:t>There is good evidence of the continuing adoption and improvement of arrangements for promoting economy, efficiency and effectiveness throughout the University.</w:t>
            </w:r>
          </w:p>
        </w:tc>
      </w:tr>
    </w:tbl>
    <w:p w14:paraId="469DBFDA" w14:textId="77777777" w:rsidR="009D67D1" w:rsidRPr="00B81CD9" w:rsidRDefault="00240B16" w:rsidP="005A2BEB">
      <w:pPr>
        <w:snapToGrid w:val="0"/>
        <w:spacing w:before="480" w:line="312" w:lineRule="auto"/>
        <w:jc w:val="left"/>
        <w:rPr>
          <w:rFonts w:cs="Arial"/>
          <w:i/>
          <w:iCs/>
          <w:color w:val="000000" w:themeColor="text1"/>
          <w:szCs w:val="22"/>
        </w:rPr>
      </w:pPr>
      <w:r w:rsidRPr="00B81CD9">
        <w:rPr>
          <w:rFonts w:cs="Arial"/>
          <w:i/>
          <w:iCs/>
          <w:color w:val="000000" w:themeColor="text1"/>
          <w:szCs w:val="22"/>
        </w:rPr>
        <w:t>Management and Quality Assurance of Data</w:t>
      </w:r>
      <w:r w:rsidR="00DC273F" w:rsidRPr="00B81CD9">
        <w:rPr>
          <w:rFonts w:cs="Arial"/>
          <w:i/>
          <w:iCs/>
          <w:color w:val="000000" w:themeColor="text1"/>
          <w:szCs w:val="22"/>
        </w:rPr>
        <w:t xml:space="preserve"> </w:t>
      </w:r>
    </w:p>
    <w:p w14:paraId="77D9B124" w14:textId="5E2C3CA7" w:rsidR="001B7CF3" w:rsidRPr="00B81CD9" w:rsidRDefault="006822E7">
      <w:pPr>
        <w:pStyle w:val="ListParagraph"/>
        <w:numPr>
          <w:ilvl w:val="1"/>
          <w:numId w:val="3"/>
        </w:numPr>
        <w:snapToGrid w:val="0"/>
        <w:spacing w:before="240" w:line="312" w:lineRule="auto"/>
        <w:ind w:left="709" w:hanging="709"/>
        <w:contextualSpacing w:val="0"/>
        <w:jc w:val="left"/>
        <w:rPr>
          <w:rFonts w:cs="Arial"/>
          <w:color w:val="000000" w:themeColor="text1"/>
        </w:rPr>
      </w:pPr>
      <w:r w:rsidRPr="00B81CD9">
        <w:rPr>
          <w:rFonts w:eastAsia="Times New Roman" w:cs="Arial"/>
          <w:color w:val="000000" w:themeColor="text1"/>
          <w:kern w:val="0"/>
          <w:lang w:val="en-GB"/>
        </w:rPr>
        <w:t xml:space="preserve">In </w:t>
      </w:r>
      <w:r w:rsidR="00DB15FD" w:rsidRPr="00B81CD9">
        <w:rPr>
          <w:rFonts w:eastAsia="Times New Roman" w:cs="Arial"/>
          <w:color w:val="000000" w:themeColor="text1"/>
          <w:kern w:val="0"/>
          <w:lang w:val="en-GB"/>
        </w:rPr>
        <w:t>2024/25</w:t>
      </w:r>
      <w:r w:rsidRPr="00B81CD9">
        <w:rPr>
          <w:rFonts w:eastAsia="Times New Roman" w:cs="Arial"/>
          <w:color w:val="000000" w:themeColor="text1"/>
          <w:kern w:val="0"/>
          <w:lang w:val="en-GB"/>
        </w:rPr>
        <w:t xml:space="preserve"> the c</w:t>
      </w:r>
      <w:r w:rsidR="0094401E" w:rsidRPr="00B81CD9">
        <w:rPr>
          <w:rFonts w:eastAsia="Times New Roman" w:cs="Arial"/>
          <w:color w:val="000000" w:themeColor="text1"/>
          <w:kern w:val="0"/>
          <w:lang w:val="en-GB"/>
        </w:rPr>
        <w:t>ommittee receive</w:t>
      </w:r>
      <w:r w:rsidRPr="00B81CD9">
        <w:rPr>
          <w:rFonts w:eastAsia="Times New Roman" w:cs="Arial"/>
          <w:color w:val="000000" w:themeColor="text1"/>
          <w:kern w:val="0"/>
          <w:lang w:val="en-GB"/>
        </w:rPr>
        <w:t>d</w:t>
      </w:r>
      <w:r w:rsidR="00FD5AB5" w:rsidRPr="00B81CD9">
        <w:rPr>
          <w:rFonts w:eastAsia="Times New Roman" w:cs="Arial"/>
          <w:color w:val="000000" w:themeColor="text1"/>
          <w:kern w:val="0"/>
          <w:lang w:val="en-GB"/>
        </w:rPr>
        <w:t xml:space="preserve"> </w:t>
      </w:r>
      <w:r w:rsidR="00102E9B" w:rsidRPr="00B81CD9">
        <w:rPr>
          <w:rFonts w:eastAsia="Times New Roman" w:cs="Arial"/>
          <w:color w:val="000000" w:themeColor="text1"/>
          <w:kern w:val="0"/>
          <w:lang w:val="en-GB"/>
        </w:rPr>
        <w:t>updates</w:t>
      </w:r>
      <w:r w:rsidR="00014349" w:rsidRPr="00B81CD9">
        <w:rPr>
          <w:rFonts w:eastAsia="Times New Roman" w:cs="Arial"/>
          <w:color w:val="000000" w:themeColor="text1"/>
          <w:kern w:val="0"/>
          <w:lang w:val="en-GB"/>
        </w:rPr>
        <w:t xml:space="preserve"> on </w:t>
      </w:r>
      <w:r w:rsidR="00DF7952" w:rsidRPr="00B81CD9">
        <w:rPr>
          <w:rFonts w:eastAsia="Times New Roman" w:cs="Arial"/>
          <w:color w:val="000000" w:themeColor="text1"/>
          <w:kern w:val="0"/>
          <w:lang w:val="en-GB"/>
        </w:rPr>
        <w:t>data quality m</w:t>
      </w:r>
      <w:r w:rsidR="00014349" w:rsidRPr="00B81CD9">
        <w:rPr>
          <w:rFonts w:eastAsia="Times New Roman" w:cs="Arial"/>
          <w:color w:val="000000" w:themeColor="text1"/>
          <w:kern w:val="0"/>
          <w:lang w:val="en-GB"/>
        </w:rPr>
        <w:t>anagement</w:t>
      </w:r>
      <w:r w:rsidR="00882BFD" w:rsidRPr="00B81CD9">
        <w:rPr>
          <w:rFonts w:eastAsia="Times New Roman" w:cs="Arial"/>
          <w:color w:val="000000" w:themeColor="text1"/>
          <w:kern w:val="0"/>
          <w:lang w:val="en-GB"/>
        </w:rPr>
        <w:t xml:space="preserve"> at </w:t>
      </w:r>
      <w:r w:rsidR="00102E9B" w:rsidRPr="00B81CD9">
        <w:rPr>
          <w:rFonts w:eastAsia="Times New Roman" w:cs="Arial"/>
          <w:color w:val="000000" w:themeColor="text1"/>
          <w:kern w:val="0"/>
          <w:lang w:val="en-GB"/>
        </w:rPr>
        <w:t xml:space="preserve">each of its 2024/25 </w:t>
      </w:r>
      <w:r w:rsidR="00882BFD" w:rsidRPr="00B81CD9">
        <w:rPr>
          <w:rFonts w:eastAsia="Times New Roman" w:cs="Arial"/>
          <w:color w:val="000000" w:themeColor="text1"/>
          <w:kern w:val="0"/>
          <w:lang w:val="en-GB"/>
        </w:rPr>
        <w:t>meetings</w:t>
      </w:r>
      <w:r w:rsidR="00DF7952" w:rsidRPr="00B81CD9">
        <w:rPr>
          <w:rFonts w:eastAsia="Times New Roman" w:cs="Arial"/>
          <w:color w:val="000000" w:themeColor="text1"/>
          <w:kern w:val="0"/>
          <w:lang w:val="en-GB"/>
        </w:rPr>
        <w:t>,</w:t>
      </w:r>
      <w:r w:rsidR="00DF7952" w:rsidRPr="00B81CD9">
        <w:rPr>
          <w:rFonts w:cs="Arial"/>
          <w:color w:val="000000" w:themeColor="text1"/>
        </w:rPr>
        <w:t xml:space="preserve"> covering work to promote</w:t>
      </w:r>
      <w:r w:rsidR="0094401E" w:rsidRPr="00B81CD9">
        <w:rPr>
          <w:rFonts w:cs="Arial"/>
          <w:color w:val="000000" w:themeColor="text1"/>
        </w:rPr>
        <w:t xml:space="preserve"> the accuracy </w:t>
      </w:r>
      <w:r w:rsidR="00DF7952" w:rsidRPr="00B81CD9">
        <w:rPr>
          <w:rFonts w:cs="Arial"/>
          <w:color w:val="000000" w:themeColor="text1"/>
        </w:rPr>
        <w:t xml:space="preserve">and quality of data and </w:t>
      </w:r>
      <w:r w:rsidR="0094401E" w:rsidRPr="00B81CD9">
        <w:rPr>
          <w:rFonts w:cs="Arial"/>
          <w:color w:val="000000" w:themeColor="text1"/>
        </w:rPr>
        <w:t xml:space="preserve">the preparation of data returns, including the HESA and HESES returns, the National Student Survey, undergraduate completion rates, Key Information Sets data and the </w:t>
      </w:r>
      <w:r w:rsidR="00C24B9C" w:rsidRPr="00B81CD9">
        <w:rPr>
          <w:rFonts w:cs="Arial"/>
          <w:color w:val="000000" w:themeColor="text1"/>
        </w:rPr>
        <w:t>Graduate Outcomes</w:t>
      </w:r>
      <w:r w:rsidR="00CB16CF" w:rsidRPr="00B81CD9">
        <w:rPr>
          <w:rFonts w:cs="Arial"/>
          <w:color w:val="000000" w:themeColor="text1"/>
        </w:rPr>
        <w:t xml:space="preserve"> </w:t>
      </w:r>
      <w:r w:rsidR="009269F0" w:rsidRPr="00B81CD9">
        <w:rPr>
          <w:rFonts w:cs="Arial"/>
          <w:color w:val="000000" w:themeColor="text1"/>
        </w:rPr>
        <w:t>return.</w:t>
      </w:r>
      <w:r w:rsidR="00C03A45" w:rsidRPr="00B81CD9">
        <w:rPr>
          <w:rFonts w:cs="Arial"/>
          <w:color w:val="000000" w:themeColor="text1"/>
        </w:rPr>
        <w:t xml:space="preserve">  </w:t>
      </w:r>
      <w:r w:rsidR="00DF7952" w:rsidRPr="00B81CD9">
        <w:rPr>
          <w:rFonts w:cs="Arial"/>
          <w:color w:val="000000" w:themeColor="text1"/>
        </w:rPr>
        <w:t>The</w:t>
      </w:r>
      <w:r w:rsidR="004952D3" w:rsidRPr="00B81CD9">
        <w:rPr>
          <w:rFonts w:cs="Arial"/>
          <w:color w:val="000000" w:themeColor="text1"/>
        </w:rPr>
        <w:t xml:space="preserve"> </w:t>
      </w:r>
      <w:r w:rsidR="00102E9B" w:rsidRPr="00B81CD9">
        <w:rPr>
          <w:rFonts w:cs="Arial"/>
          <w:color w:val="000000" w:themeColor="text1"/>
        </w:rPr>
        <w:t>updates</w:t>
      </w:r>
      <w:r w:rsidR="004952D3" w:rsidRPr="00B81CD9">
        <w:rPr>
          <w:rFonts w:cs="Arial"/>
          <w:color w:val="000000" w:themeColor="text1"/>
        </w:rPr>
        <w:t xml:space="preserve"> </w:t>
      </w:r>
      <w:r w:rsidRPr="00B81CD9">
        <w:rPr>
          <w:rFonts w:cs="Arial"/>
          <w:color w:val="000000" w:themeColor="text1"/>
        </w:rPr>
        <w:t>were</w:t>
      </w:r>
      <w:r w:rsidR="004952D3" w:rsidRPr="00B81CD9">
        <w:rPr>
          <w:rFonts w:cs="Arial"/>
          <w:color w:val="000000" w:themeColor="text1"/>
        </w:rPr>
        <w:t xml:space="preserve"> </w:t>
      </w:r>
      <w:r w:rsidR="00125244" w:rsidRPr="00B81CD9">
        <w:rPr>
          <w:rFonts w:cs="Arial"/>
          <w:color w:val="000000" w:themeColor="text1"/>
        </w:rPr>
        <w:t xml:space="preserve">provided by the Chief </w:t>
      </w:r>
      <w:r w:rsidR="00882BFD" w:rsidRPr="00B81CD9">
        <w:rPr>
          <w:rFonts w:cs="Arial"/>
          <w:color w:val="000000" w:themeColor="text1"/>
        </w:rPr>
        <w:t>Operating Officer</w:t>
      </w:r>
      <w:r w:rsidR="001E6736" w:rsidRPr="00B81CD9">
        <w:rPr>
          <w:rFonts w:cs="Arial"/>
          <w:color w:val="000000" w:themeColor="text1"/>
        </w:rPr>
        <w:t xml:space="preserve"> Officer as the Chair of the Data Quality Management </w:t>
      </w:r>
      <w:proofErr w:type="spellStart"/>
      <w:r w:rsidR="001E6736" w:rsidRPr="00B81CD9">
        <w:rPr>
          <w:rFonts w:cs="Arial"/>
          <w:color w:val="000000" w:themeColor="text1"/>
        </w:rPr>
        <w:t>Programme</w:t>
      </w:r>
      <w:proofErr w:type="spellEnd"/>
      <w:r w:rsidR="001E6736" w:rsidRPr="00B81CD9">
        <w:rPr>
          <w:rFonts w:cs="Arial"/>
          <w:color w:val="000000" w:themeColor="text1"/>
        </w:rPr>
        <w:t xml:space="preserve"> Board.</w:t>
      </w:r>
      <w:r w:rsidR="00402AFA" w:rsidRPr="00B81CD9">
        <w:rPr>
          <w:rFonts w:cs="Arial"/>
          <w:color w:val="000000" w:themeColor="text1"/>
        </w:rPr>
        <w:t xml:space="preserve"> </w:t>
      </w:r>
    </w:p>
    <w:p w14:paraId="59217915" w14:textId="7BEDAD6B" w:rsidR="001D4AEA" w:rsidRPr="00B81CD9" w:rsidRDefault="254A9DA0">
      <w:pPr>
        <w:pStyle w:val="ListParagraph"/>
        <w:numPr>
          <w:ilvl w:val="1"/>
          <w:numId w:val="3"/>
        </w:numPr>
        <w:snapToGrid w:val="0"/>
        <w:spacing w:before="240" w:line="312" w:lineRule="auto"/>
        <w:ind w:left="709" w:hanging="709"/>
        <w:contextualSpacing w:val="0"/>
        <w:jc w:val="left"/>
        <w:rPr>
          <w:rFonts w:cs="Arial"/>
          <w:color w:val="000000" w:themeColor="text1"/>
        </w:rPr>
      </w:pPr>
      <w:r w:rsidRPr="00B81CD9">
        <w:rPr>
          <w:rFonts w:cs="Arial"/>
          <w:color w:val="000000" w:themeColor="text1"/>
        </w:rPr>
        <w:t xml:space="preserve">During the review period, the </w:t>
      </w:r>
      <w:r w:rsidR="00DB15FD" w:rsidRPr="00B81CD9">
        <w:rPr>
          <w:rFonts w:cs="Arial"/>
          <w:color w:val="000000" w:themeColor="text1"/>
        </w:rPr>
        <w:t xml:space="preserve">People, </w:t>
      </w:r>
      <w:r w:rsidR="00AA4714" w:rsidRPr="00B81CD9">
        <w:rPr>
          <w:rFonts w:cs="Arial"/>
          <w:color w:val="000000" w:themeColor="text1"/>
        </w:rPr>
        <w:t>Finance and Resources Committee</w:t>
      </w:r>
      <w:r w:rsidR="003C559A" w:rsidRPr="00B81CD9">
        <w:rPr>
          <w:rFonts w:cs="Arial"/>
          <w:color w:val="000000" w:themeColor="text1"/>
        </w:rPr>
        <w:t xml:space="preserve"> </w:t>
      </w:r>
      <w:r w:rsidR="00376600" w:rsidRPr="00B81CD9">
        <w:rPr>
          <w:rFonts w:cs="Arial"/>
          <w:bCs/>
          <w:color w:val="000000" w:themeColor="text1"/>
          <w:szCs w:val="22"/>
        </w:rPr>
        <w:t>confirmed</w:t>
      </w:r>
      <w:r w:rsidR="003C559A" w:rsidRPr="00B81CD9">
        <w:rPr>
          <w:rFonts w:cs="Arial"/>
          <w:bCs/>
          <w:color w:val="000000" w:themeColor="text1"/>
          <w:szCs w:val="22"/>
        </w:rPr>
        <w:t xml:space="preserve"> the </w:t>
      </w:r>
      <w:r w:rsidR="00AA4714" w:rsidRPr="00B81CD9">
        <w:rPr>
          <w:rFonts w:cs="Arial"/>
          <w:bCs/>
          <w:color w:val="000000" w:themeColor="text1"/>
          <w:szCs w:val="22"/>
        </w:rPr>
        <w:t xml:space="preserve">process for the </w:t>
      </w:r>
      <w:r w:rsidR="003C559A" w:rsidRPr="00B81CD9">
        <w:rPr>
          <w:rFonts w:cs="Arial"/>
          <w:bCs/>
          <w:color w:val="000000" w:themeColor="text1"/>
          <w:szCs w:val="22"/>
        </w:rPr>
        <w:t xml:space="preserve">TRAC return </w:t>
      </w:r>
      <w:r w:rsidR="00DB15FD" w:rsidRPr="00B81CD9">
        <w:rPr>
          <w:rFonts w:cs="Arial"/>
          <w:bCs/>
          <w:color w:val="000000" w:themeColor="text1"/>
          <w:szCs w:val="22"/>
        </w:rPr>
        <w:t>2024/25</w:t>
      </w:r>
      <w:r w:rsidR="00D078FA" w:rsidRPr="00B81CD9">
        <w:rPr>
          <w:rFonts w:cs="Arial"/>
          <w:bCs/>
          <w:color w:val="000000" w:themeColor="text1"/>
          <w:szCs w:val="22"/>
        </w:rPr>
        <w:t xml:space="preserve"> </w:t>
      </w:r>
      <w:r w:rsidR="00376600" w:rsidRPr="00B81CD9">
        <w:rPr>
          <w:rFonts w:cs="Arial"/>
          <w:bCs/>
          <w:color w:val="000000" w:themeColor="text1"/>
          <w:szCs w:val="22"/>
        </w:rPr>
        <w:t>was</w:t>
      </w:r>
      <w:r w:rsidR="00D078FA" w:rsidRPr="00B81CD9">
        <w:rPr>
          <w:rFonts w:cs="Arial"/>
          <w:bCs/>
          <w:color w:val="000000" w:themeColor="text1"/>
          <w:szCs w:val="22"/>
        </w:rPr>
        <w:t xml:space="preserve"> </w:t>
      </w:r>
      <w:r w:rsidR="00376600" w:rsidRPr="00B81CD9">
        <w:rPr>
          <w:rFonts w:cs="Arial"/>
          <w:bCs/>
          <w:color w:val="000000" w:themeColor="text1"/>
          <w:szCs w:val="22"/>
        </w:rPr>
        <w:t xml:space="preserve">inline </w:t>
      </w:r>
      <w:r w:rsidR="00D078FA" w:rsidRPr="00B81CD9">
        <w:rPr>
          <w:rFonts w:cs="Arial"/>
          <w:bCs/>
          <w:color w:val="000000" w:themeColor="text1"/>
          <w:szCs w:val="22"/>
        </w:rPr>
        <w:t>with the</w:t>
      </w:r>
      <w:r w:rsidR="003C559A" w:rsidRPr="00B81CD9">
        <w:rPr>
          <w:rFonts w:cs="Arial"/>
          <w:bCs/>
          <w:color w:val="000000" w:themeColor="text1"/>
          <w:szCs w:val="22"/>
        </w:rPr>
        <w:t xml:space="preserve"> requirements of the Office for Students. </w:t>
      </w:r>
      <w:r w:rsidR="003C559A" w:rsidRPr="00B81CD9">
        <w:rPr>
          <w:rFonts w:cs="Arial"/>
          <w:color w:val="000000" w:themeColor="text1"/>
        </w:rPr>
        <w:t xml:space="preserve">The return </w:t>
      </w:r>
      <w:r w:rsidR="00D078FA" w:rsidRPr="00B81CD9">
        <w:rPr>
          <w:rFonts w:cs="Arial"/>
          <w:color w:val="000000" w:themeColor="text1"/>
        </w:rPr>
        <w:t>was</w:t>
      </w:r>
      <w:r w:rsidRPr="00B81CD9">
        <w:rPr>
          <w:rFonts w:cs="Arial"/>
          <w:color w:val="000000" w:themeColor="text1"/>
        </w:rPr>
        <w:t xml:space="preserve"> submitted to </w:t>
      </w:r>
      <w:r w:rsidR="00483DC1" w:rsidRPr="00B81CD9">
        <w:rPr>
          <w:rFonts w:cs="Arial"/>
          <w:color w:val="000000" w:themeColor="text1"/>
        </w:rPr>
        <w:t>the Office for Students</w:t>
      </w:r>
      <w:r w:rsidRPr="00B81CD9">
        <w:rPr>
          <w:rFonts w:cs="Arial"/>
          <w:color w:val="000000" w:themeColor="text1"/>
        </w:rPr>
        <w:t xml:space="preserve"> </w:t>
      </w:r>
      <w:r w:rsidR="003C559A" w:rsidRPr="00B81CD9">
        <w:rPr>
          <w:rFonts w:cs="Arial"/>
          <w:color w:val="000000" w:themeColor="text1"/>
        </w:rPr>
        <w:t xml:space="preserve">in accordance with the 31 </w:t>
      </w:r>
      <w:r w:rsidR="00376600" w:rsidRPr="00B81CD9">
        <w:rPr>
          <w:rFonts w:cs="Arial"/>
          <w:color w:val="000000" w:themeColor="text1"/>
        </w:rPr>
        <w:t>January</w:t>
      </w:r>
      <w:r w:rsidR="003C559A" w:rsidRPr="00B81CD9">
        <w:rPr>
          <w:rFonts w:cs="Arial"/>
          <w:color w:val="000000" w:themeColor="text1"/>
        </w:rPr>
        <w:t xml:space="preserve"> </w:t>
      </w:r>
      <w:r w:rsidR="001B7CF3" w:rsidRPr="00B81CD9">
        <w:rPr>
          <w:rFonts w:cs="Arial"/>
          <w:color w:val="000000" w:themeColor="text1"/>
        </w:rPr>
        <w:t>202</w:t>
      </w:r>
      <w:r w:rsidR="00DB15FD" w:rsidRPr="00B81CD9">
        <w:rPr>
          <w:rFonts w:cs="Arial"/>
          <w:color w:val="000000" w:themeColor="text1"/>
        </w:rPr>
        <w:t>5</w:t>
      </w:r>
      <w:r w:rsidR="00882BFD" w:rsidRPr="00B81CD9">
        <w:rPr>
          <w:rFonts w:cs="Arial"/>
          <w:color w:val="000000" w:themeColor="text1"/>
        </w:rPr>
        <w:t xml:space="preserve"> </w:t>
      </w:r>
      <w:r w:rsidR="003C559A" w:rsidRPr="00B81CD9">
        <w:rPr>
          <w:rFonts w:cs="Arial"/>
          <w:color w:val="000000" w:themeColor="text1"/>
        </w:rPr>
        <w:t>deadline.</w:t>
      </w:r>
    </w:p>
    <w:p w14:paraId="75709686" w14:textId="77777777" w:rsidR="00372CB2" w:rsidRPr="00B81CD9" w:rsidRDefault="00372CB2" w:rsidP="00E171F6">
      <w:pPr>
        <w:pStyle w:val="FreeFormA"/>
        <w:spacing w:line="276" w:lineRule="auto"/>
        <w:rPr>
          <w:rFonts w:ascii="Arial" w:hAnsi="Arial" w:cs="Arial"/>
          <w:color w:val="000000" w:themeColor="text1"/>
          <w:sz w:val="22"/>
          <w:szCs w:val="22"/>
        </w:rPr>
      </w:pPr>
    </w:p>
    <w:tbl>
      <w:tblPr>
        <w:tblStyle w:val="TableGrid"/>
        <w:tblW w:w="0" w:type="auto"/>
        <w:tblInd w:w="773" w:type="dxa"/>
        <w:tblLook w:val="04A0" w:firstRow="1" w:lastRow="0" w:firstColumn="1" w:lastColumn="0" w:noHBand="0" w:noVBand="1"/>
      </w:tblPr>
      <w:tblGrid>
        <w:gridCol w:w="9036"/>
      </w:tblGrid>
      <w:tr w:rsidR="001B7CF3" w:rsidRPr="00B81CD9" w14:paraId="6D8310A2" w14:textId="77777777" w:rsidTr="254A9DA0">
        <w:trPr>
          <w:trHeight w:val="1001"/>
        </w:trPr>
        <w:tc>
          <w:tcPr>
            <w:tcW w:w="9036" w:type="dxa"/>
            <w:shd w:val="clear" w:color="auto" w:fill="D9D9D9" w:themeFill="background1" w:themeFillShade="D9"/>
          </w:tcPr>
          <w:p w14:paraId="7B4B7C53" w14:textId="093657D0" w:rsidR="0094401E" w:rsidRPr="00B81CD9" w:rsidRDefault="254A9DA0" w:rsidP="009C6E6F">
            <w:pPr>
              <w:pStyle w:val="ListParagraph"/>
              <w:shd w:val="clear" w:color="auto" w:fill="auto"/>
              <w:snapToGrid w:val="0"/>
              <w:spacing w:before="240" w:after="120" w:line="312" w:lineRule="auto"/>
              <w:ind w:left="0"/>
              <w:contextualSpacing w:val="0"/>
              <w:jc w:val="left"/>
              <w:rPr>
                <w:b/>
                <w:bCs w:val="0"/>
                <w:color w:val="000000" w:themeColor="text1"/>
              </w:rPr>
            </w:pPr>
            <w:r w:rsidRPr="00B81CD9">
              <w:rPr>
                <w:b/>
                <w:color w:val="000000" w:themeColor="text1"/>
              </w:rPr>
              <w:t>The Audit</w:t>
            </w:r>
            <w:r w:rsidR="00102E9B" w:rsidRPr="00B81CD9">
              <w:rPr>
                <w:b/>
                <w:color w:val="000000" w:themeColor="text1"/>
              </w:rPr>
              <w:t xml:space="preserve"> and Risk</w:t>
            </w:r>
            <w:r w:rsidRPr="00B81CD9">
              <w:rPr>
                <w:b/>
                <w:color w:val="000000" w:themeColor="text1"/>
              </w:rPr>
              <w:t xml:space="preserve"> Committee is satisfied about the adequacy and effectiveness of arrangements for the management and quality assurance of data submissions to HESA, Offi</w:t>
            </w:r>
            <w:r w:rsidR="00483DC1" w:rsidRPr="00B81CD9">
              <w:rPr>
                <w:b/>
                <w:color w:val="000000" w:themeColor="text1"/>
              </w:rPr>
              <w:t>ce for Students</w:t>
            </w:r>
            <w:r w:rsidRPr="00B81CD9">
              <w:rPr>
                <w:b/>
                <w:color w:val="000000" w:themeColor="text1"/>
              </w:rPr>
              <w:t>, the Student Loans Company and other funding bodies, including the timeliness and reliability of the University’s data returns.</w:t>
            </w:r>
          </w:p>
          <w:p w14:paraId="19ED80DA" w14:textId="199AA6D0" w:rsidR="0094401E" w:rsidRPr="00B81CD9" w:rsidRDefault="254A9DA0" w:rsidP="001754B2">
            <w:pPr>
              <w:pStyle w:val="ListParagraph"/>
              <w:shd w:val="clear" w:color="auto" w:fill="auto"/>
              <w:snapToGrid w:val="0"/>
              <w:spacing w:before="240" w:after="120" w:line="312" w:lineRule="auto"/>
              <w:ind w:left="0"/>
              <w:contextualSpacing w:val="0"/>
              <w:jc w:val="left"/>
              <w:rPr>
                <w:b/>
                <w:bCs w:val="0"/>
                <w:color w:val="000000" w:themeColor="text1"/>
              </w:rPr>
            </w:pPr>
            <w:r w:rsidRPr="00B81CD9">
              <w:rPr>
                <w:b/>
                <w:color w:val="000000" w:themeColor="text1"/>
              </w:rPr>
              <w:t xml:space="preserve">The Committee receives regular updates via data quality management reports from the executive and through the internal auditors </w:t>
            </w:r>
            <w:r w:rsidR="003C559A" w:rsidRPr="00B81CD9">
              <w:rPr>
                <w:b/>
                <w:color w:val="000000" w:themeColor="text1"/>
              </w:rPr>
              <w:t>as appropriate.</w:t>
            </w:r>
          </w:p>
          <w:p w14:paraId="4774F90C" w14:textId="26831485" w:rsidR="0094401E" w:rsidRPr="00B81CD9" w:rsidRDefault="254A9DA0" w:rsidP="007631E2">
            <w:pPr>
              <w:pStyle w:val="ListParagraph"/>
              <w:shd w:val="clear" w:color="auto" w:fill="auto"/>
              <w:snapToGrid w:val="0"/>
              <w:spacing w:before="240" w:after="120" w:line="312" w:lineRule="auto"/>
              <w:ind w:left="0"/>
              <w:contextualSpacing w:val="0"/>
              <w:jc w:val="left"/>
              <w:rPr>
                <w:b/>
                <w:bCs w:val="0"/>
                <w:color w:val="000000" w:themeColor="text1"/>
              </w:rPr>
            </w:pPr>
            <w:r w:rsidRPr="00B81CD9">
              <w:rPr>
                <w:b/>
                <w:color w:val="000000" w:themeColor="text1"/>
              </w:rPr>
              <w:t>Key Performance Indicators for measuring the success of the Strategic Plan include improvements to financial and academic sustainability targets, which will be reliant on the accuracy and effective management of data.</w:t>
            </w:r>
          </w:p>
        </w:tc>
      </w:tr>
    </w:tbl>
    <w:p w14:paraId="5821F76F" w14:textId="0392B8F5" w:rsidR="00716B30" w:rsidRPr="00B81CD9" w:rsidRDefault="00716B30"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2ECE36A4" w14:textId="38130ECA" w:rsidR="00CC64AA" w:rsidRPr="00B81CD9"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4E2B33B9" w14:textId="6A6C1FF7" w:rsidR="00CC64AA" w:rsidRPr="00B81CD9"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511325D0" w14:textId="4F4AEC7C" w:rsidR="00CC64AA" w:rsidRPr="00B81CD9" w:rsidRDefault="00CC64AA" w:rsidP="005A2BEB">
      <w:pPr>
        <w:shd w:val="clear" w:color="auto" w:fill="auto"/>
        <w:autoSpaceDE w:val="0"/>
        <w:autoSpaceDN w:val="0"/>
        <w:adjustRightInd w:val="0"/>
        <w:spacing w:line="240" w:lineRule="auto"/>
        <w:jc w:val="left"/>
        <w:rPr>
          <w:rFonts w:eastAsia="Times New Roman" w:cs="Arial"/>
          <w:b/>
          <w:color w:val="000000" w:themeColor="text1"/>
          <w:kern w:val="0"/>
          <w:szCs w:val="22"/>
          <w:lang w:eastAsia="en-GB"/>
        </w:rPr>
      </w:pPr>
      <w:r w:rsidRPr="00B81CD9">
        <w:rPr>
          <w:rFonts w:eastAsia="Times New Roman" w:cs="Arial"/>
          <w:b/>
          <w:color w:val="000000" w:themeColor="text1"/>
          <w:kern w:val="0"/>
          <w:szCs w:val="22"/>
          <w:lang w:eastAsia="en-GB"/>
        </w:rPr>
        <w:t>Appendices</w:t>
      </w:r>
    </w:p>
    <w:p w14:paraId="085F2CD7" w14:textId="4647EBC7" w:rsidR="00CC64AA" w:rsidRPr="00B81CD9"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502D098F" w14:textId="06A6A3C1" w:rsidR="00CC64AA" w:rsidRPr="00B81CD9" w:rsidRDefault="00CC64AA">
      <w:pPr>
        <w:pStyle w:val="ListParagraph"/>
        <w:numPr>
          <w:ilvl w:val="0"/>
          <w:numId w:val="8"/>
        </w:num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r w:rsidRPr="00B81CD9">
        <w:rPr>
          <w:rFonts w:eastAsia="Times New Roman" w:cs="Arial"/>
          <w:color w:val="000000" w:themeColor="text1"/>
          <w:kern w:val="0"/>
          <w:szCs w:val="22"/>
          <w:lang w:eastAsia="en-GB"/>
        </w:rPr>
        <w:t xml:space="preserve">Appendix A- Definitions of </w:t>
      </w:r>
      <w:r w:rsidR="006213BB" w:rsidRPr="00B81CD9">
        <w:rPr>
          <w:rFonts w:eastAsia="Times New Roman" w:cs="Arial"/>
          <w:color w:val="000000" w:themeColor="text1"/>
          <w:kern w:val="0"/>
          <w:szCs w:val="22"/>
          <w:lang w:eastAsia="en-GB"/>
        </w:rPr>
        <w:t xml:space="preserve">Internal </w:t>
      </w:r>
      <w:r w:rsidRPr="00B81CD9">
        <w:rPr>
          <w:rFonts w:eastAsia="Times New Roman" w:cs="Arial"/>
          <w:color w:val="000000" w:themeColor="text1"/>
          <w:kern w:val="0"/>
          <w:szCs w:val="22"/>
          <w:lang w:eastAsia="en-GB"/>
        </w:rPr>
        <w:t>Audit Opinions and Recommendation Priorities</w:t>
      </w:r>
    </w:p>
    <w:p w14:paraId="6B13DDDA" w14:textId="7432DCA4" w:rsidR="00CC64AA" w:rsidRPr="001B7CF3"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5E4787DF" w14:textId="79345F6F" w:rsidR="00CC64AA" w:rsidRPr="001B7CF3"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693E14F7" w14:textId="0DB73A73" w:rsidR="00CC64AA" w:rsidRPr="001B7CF3" w:rsidRDefault="00CC64AA" w:rsidP="005A2BEB">
      <w:pPr>
        <w:shd w:val="clear" w:color="auto" w:fill="auto"/>
        <w:autoSpaceDE w:val="0"/>
        <w:autoSpaceDN w:val="0"/>
        <w:adjustRightInd w:val="0"/>
        <w:spacing w:line="240" w:lineRule="auto"/>
        <w:jc w:val="left"/>
        <w:rPr>
          <w:rFonts w:eastAsia="Times New Roman" w:cs="Arial"/>
          <w:color w:val="000000" w:themeColor="text1"/>
          <w:kern w:val="0"/>
          <w:szCs w:val="22"/>
          <w:lang w:eastAsia="en-GB"/>
        </w:rPr>
      </w:pPr>
    </w:p>
    <w:p w14:paraId="494A04C6" w14:textId="77777777" w:rsidR="00CC64AA" w:rsidRPr="00D078FA" w:rsidRDefault="00CC64AA" w:rsidP="005A2BEB">
      <w:pPr>
        <w:shd w:val="clear" w:color="auto" w:fill="auto"/>
        <w:autoSpaceDE w:val="0"/>
        <w:autoSpaceDN w:val="0"/>
        <w:adjustRightInd w:val="0"/>
        <w:spacing w:line="240" w:lineRule="auto"/>
        <w:jc w:val="left"/>
        <w:rPr>
          <w:rFonts w:eastAsia="Times New Roman" w:cs="Arial"/>
          <w:color w:val="auto"/>
          <w:kern w:val="0"/>
          <w:szCs w:val="22"/>
          <w:lang w:eastAsia="en-GB"/>
        </w:rPr>
      </w:pPr>
    </w:p>
    <w:sectPr w:rsidR="00CC64AA" w:rsidRPr="00D078FA" w:rsidSect="000D2F55">
      <w:headerReference w:type="default" r:id="rId12"/>
      <w:footerReference w:type="even" r:id="rId13"/>
      <w:footerReference w:type="default" r:id="rId14"/>
      <w:footerReference w:type="first" r:id="rId15"/>
      <w:pgSz w:w="11907" w:h="16840" w:code="9"/>
      <w:pgMar w:top="1276" w:right="708" w:bottom="1276" w:left="1134" w:header="720" w:footer="4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BD9F" w14:textId="77777777" w:rsidR="00CF437E" w:rsidRDefault="00CF437E" w:rsidP="00334384">
      <w:pPr>
        <w:spacing w:line="240" w:lineRule="auto"/>
      </w:pPr>
      <w:r>
        <w:separator/>
      </w:r>
    </w:p>
  </w:endnote>
  <w:endnote w:type="continuationSeparator" w:id="0">
    <w:p w14:paraId="2E5CD6E3" w14:textId="77777777" w:rsidR="00CF437E" w:rsidRDefault="00CF437E" w:rsidP="00334384">
      <w:pPr>
        <w:spacing w:line="240" w:lineRule="auto"/>
      </w:pPr>
      <w:r>
        <w:continuationSeparator/>
      </w:r>
    </w:p>
  </w:endnote>
  <w:endnote w:type="continuationNotice" w:id="1">
    <w:p w14:paraId="0AEC8E66" w14:textId="77777777" w:rsidR="00CF437E" w:rsidRDefault="00CF43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ヒラギノ角ゴ Pro W3">
    <w:altName w:val="MS Gothic"/>
    <w:panose1 w:val="020B0604020202020204"/>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swiss"/>
    <w:pitch w:val="variable"/>
    <w:sig w:usb0="E0002EFF" w:usb1="C000785B" w:usb2="00000009" w:usb3="00000000" w:csb0="000001FF" w:csb1="00000000"/>
  </w:font>
  <w:font w:name="Lucida Grande">
    <w:altName w:val="Segoe UI"/>
    <w:panose1 w:val="020B0604020202020204"/>
    <w:charset w:val="00"/>
    <w:family w:val="swiss"/>
    <w:pitch w:val="variable"/>
    <w:sig w:usb0="E1000AEF" w:usb1="5000A1FF" w:usb2="00000000" w:usb3="00000000" w:csb0="000001BF" w:csb1="00000000"/>
  </w:font>
  <w:font w:name="Georgia Italic">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BF74" w14:textId="0FDB1B82" w:rsidR="00D81A6B" w:rsidRDefault="00D81A6B" w:rsidP="009C6E6F">
    <w:pPr>
      <w:pStyle w:val="Footer"/>
      <w:tabs>
        <w:tab w:val="clear" w:pos="4513"/>
        <w:tab w:val="clear" w:pos="9026"/>
        <w:tab w:val="center" w:pos="4678"/>
        <w:tab w:val="right" w:pos="9498"/>
      </w:tabs>
      <w:snapToGrid w:val="0"/>
      <w:spacing w:line="240" w:lineRule="auto"/>
      <w:rPr>
        <w:noProof/>
        <w:sz w:val="20"/>
        <w:szCs w:val="20"/>
      </w:rPr>
    </w:pPr>
    <w:r>
      <w:rPr>
        <w:sz w:val="20"/>
        <w:szCs w:val="20"/>
      </w:rPr>
      <w:t xml:space="preserve">Audit </w:t>
    </w:r>
    <w:r w:rsidR="00177D59">
      <w:rPr>
        <w:sz w:val="20"/>
        <w:szCs w:val="20"/>
      </w:rPr>
      <w:t xml:space="preserve">and Risk </w:t>
    </w:r>
    <w:r>
      <w:rPr>
        <w:sz w:val="20"/>
        <w:szCs w:val="20"/>
      </w:rPr>
      <w:t xml:space="preserve">Committee Annual Report </w:t>
    </w:r>
    <w:r w:rsidR="00BF0879">
      <w:rPr>
        <w:sz w:val="20"/>
        <w:szCs w:val="20"/>
      </w:rPr>
      <w:t>24/25</w:t>
    </w:r>
    <w:r w:rsidR="000F4B55">
      <w:rPr>
        <w:sz w:val="20"/>
        <w:szCs w:val="20"/>
      </w:rPr>
      <w:t xml:space="preserve"> </w:t>
    </w:r>
    <w:r>
      <w:rPr>
        <w:sz w:val="20"/>
        <w:szCs w:val="20"/>
      </w:rPr>
      <w:tab/>
    </w:r>
    <w:r>
      <w:fldChar w:fldCharType="begin"/>
    </w:r>
    <w:r>
      <w:instrText xml:space="preserve"> PAGE  \* Arabic  \* MERGEFORMAT </w:instrText>
    </w:r>
    <w:r>
      <w:fldChar w:fldCharType="separate"/>
    </w:r>
    <w:r w:rsidR="00AE59D4" w:rsidRPr="00AE59D4">
      <w:rPr>
        <w:noProof/>
        <w:sz w:val="20"/>
        <w:szCs w:val="20"/>
      </w:rPr>
      <w:t>10</w:t>
    </w:r>
    <w:r>
      <w:rPr>
        <w:noProof/>
        <w:sz w:val="20"/>
        <w:szCs w:val="20"/>
      </w:rPr>
      <w:fldChar w:fldCharType="end"/>
    </w:r>
    <w:r w:rsidRPr="00C57E0C">
      <w:rPr>
        <w:sz w:val="20"/>
        <w:szCs w:val="20"/>
      </w:rPr>
      <w:t xml:space="preserve"> / </w:t>
    </w:r>
    <w:r>
      <w:rPr>
        <w:noProof/>
      </w:rPr>
      <w:fldChar w:fldCharType="begin"/>
    </w:r>
    <w:r>
      <w:rPr>
        <w:noProof/>
      </w:rPr>
      <w:instrText xml:space="preserve"> NUMPAGES  \* Arabic  \* MERGEFORMAT </w:instrText>
    </w:r>
    <w:r>
      <w:rPr>
        <w:noProof/>
      </w:rPr>
      <w:fldChar w:fldCharType="separate"/>
    </w:r>
    <w:r w:rsidR="00AE59D4">
      <w:rPr>
        <w:noProof/>
      </w:rPr>
      <w:t>11</w:t>
    </w:r>
    <w:r>
      <w:rPr>
        <w:noProof/>
      </w:rPr>
      <w:fldChar w:fldCharType="end"/>
    </w:r>
    <w:r>
      <w:rPr>
        <w:noProof/>
        <w:sz w:val="20"/>
        <w:szCs w:val="20"/>
      </w:rPr>
      <w:tab/>
    </w:r>
  </w:p>
  <w:p w14:paraId="0D9092EB" w14:textId="4560A45A" w:rsidR="00D81A6B" w:rsidRPr="00C57E0C" w:rsidRDefault="00202E26" w:rsidP="009C6E6F">
    <w:pPr>
      <w:pStyle w:val="Footer"/>
      <w:tabs>
        <w:tab w:val="clear" w:pos="9026"/>
        <w:tab w:val="right" w:pos="9498"/>
      </w:tabs>
      <w:snapToGrid w:val="0"/>
      <w:spacing w:line="240" w:lineRule="auto"/>
      <w:jc w:val="left"/>
      <w:rPr>
        <w:sz w:val="20"/>
        <w:szCs w:val="20"/>
      </w:rPr>
    </w:pPr>
    <w:r>
      <w:rPr>
        <w:noProof/>
        <w:sz w:val="20"/>
        <w:szCs w:val="20"/>
      </w:rPr>
      <w:t>Nicola Le Faou</w:t>
    </w:r>
    <w:r w:rsidR="00D81A6B">
      <w:rPr>
        <w:noProof/>
        <w:sz w:val="20"/>
        <w:szCs w:val="20"/>
      </w:rPr>
      <w:tab/>
    </w:r>
    <w:r w:rsidR="00D81A6B">
      <w:rPr>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812A" w14:textId="4A98D9A8" w:rsidR="00D81A6B" w:rsidRDefault="00D81A6B" w:rsidP="009C6E6F">
    <w:pPr>
      <w:pStyle w:val="Footer"/>
      <w:tabs>
        <w:tab w:val="clear" w:pos="4513"/>
        <w:tab w:val="clear" w:pos="9026"/>
        <w:tab w:val="center" w:pos="4678"/>
        <w:tab w:val="right" w:pos="9498"/>
      </w:tabs>
      <w:snapToGrid w:val="0"/>
      <w:spacing w:line="240" w:lineRule="auto"/>
      <w:rPr>
        <w:noProof/>
        <w:sz w:val="20"/>
        <w:szCs w:val="20"/>
      </w:rPr>
    </w:pPr>
    <w:r>
      <w:rPr>
        <w:sz w:val="20"/>
        <w:szCs w:val="20"/>
      </w:rPr>
      <w:t xml:space="preserve">Audit </w:t>
    </w:r>
    <w:r w:rsidR="00E81FF1">
      <w:rPr>
        <w:sz w:val="20"/>
        <w:szCs w:val="20"/>
      </w:rPr>
      <w:t xml:space="preserve">and Risk </w:t>
    </w:r>
    <w:r>
      <w:rPr>
        <w:sz w:val="20"/>
        <w:szCs w:val="20"/>
      </w:rPr>
      <w:t>Committee Annual Report</w:t>
    </w:r>
    <w:r>
      <w:rPr>
        <w:noProof/>
        <w:sz w:val="20"/>
        <w:szCs w:val="20"/>
      </w:rPr>
      <w:tab/>
    </w:r>
  </w:p>
  <w:p w14:paraId="5016FDDB" w14:textId="6062EFCB" w:rsidR="00D81A6B" w:rsidRPr="009B4184" w:rsidRDefault="00D81A6B" w:rsidP="009C6E6F">
    <w:pPr>
      <w:pStyle w:val="Footer"/>
      <w:tabs>
        <w:tab w:val="clear" w:pos="9026"/>
        <w:tab w:val="right" w:pos="9498"/>
      </w:tabs>
      <w:snapToGrid w:val="0"/>
      <w:spacing w:line="240" w:lineRule="auto"/>
      <w:jc w:val="left"/>
      <w:rPr>
        <w:sz w:val="20"/>
        <w:szCs w:val="20"/>
      </w:rPr>
    </w:pPr>
    <w:r>
      <w:rPr>
        <w:noProof/>
        <w:sz w:val="20"/>
        <w:szCs w:val="20"/>
      </w:rPr>
      <w:t xml:space="preserve">Nicola </w:t>
    </w:r>
    <w:r w:rsidR="008D45C1">
      <w:rPr>
        <w:noProof/>
        <w:sz w:val="20"/>
        <w:szCs w:val="20"/>
      </w:rPr>
      <w:t>Le Faou</w:t>
    </w:r>
    <w:r>
      <w:rPr>
        <w:noProof/>
        <w:sz w:val="20"/>
        <w:szCs w:val="20"/>
      </w:rPr>
      <w:t xml:space="preserve"> </w:t>
    </w:r>
    <w:r>
      <w:rPr>
        <w:noProof/>
        <w:sz w:val="20"/>
        <w:szCs w:val="20"/>
      </w:rPr>
      <w:tab/>
    </w:r>
    <w:r>
      <w:rPr>
        <w:noProo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3C95" w14:textId="77777777" w:rsidR="00D81A6B" w:rsidRPr="00C57E0C" w:rsidRDefault="00D81A6B" w:rsidP="003A74D1">
    <w:pPr>
      <w:pStyle w:val="Footer"/>
      <w:jc w:val="center"/>
      <w:rPr>
        <w:noProof/>
        <w:sz w:val="20"/>
        <w:szCs w:val="20"/>
      </w:rPr>
    </w:pPr>
    <w:r>
      <w:rPr>
        <w:sz w:val="20"/>
        <w:szCs w:val="20"/>
      </w:rPr>
      <w:t>Audit Committee Annual Report 2014/15</w:t>
    </w:r>
    <w:r>
      <w:rPr>
        <w:sz w:val="20"/>
        <w:szCs w:val="20"/>
      </w:rPr>
      <w:tab/>
    </w:r>
    <w:r>
      <w:fldChar w:fldCharType="begin"/>
    </w:r>
    <w:r>
      <w:instrText xml:space="preserve"> PAGE  \* Arabic  \* MERGEFORMAT </w:instrText>
    </w:r>
    <w:r>
      <w:fldChar w:fldCharType="separate"/>
    </w:r>
    <w:r>
      <w:rPr>
        <w:noProof/>
        <w:sz w:val="20"/>
        <w:szCs w:val="20"/>
      </w:rPr>
      <w:t>1</w:t>
    </w:r>
    <w:r>
      <w:rPr>
        <w:noProof/>
        <w:sz w:val="20"/>
        <w:szCs w:val="20"/>
      </w:rPr>
      <w:fldChar w:fldCharType="end"/>
    </w:r>
    <w:r w:rsidRPr="00C57E0C">
      <w:rPr>
        <w:sz w:val="20"/>
        <w:szCs w:val="20"/>
      </w:rPr>
      <w:t xml:space="preserve"> / </w:t>
    </w:r>
    <w:fldSimple w:instr="NUMPAGES  \* Arabic  \* MERGEFORMAT">
      <w:r w:rsidRPr="254A9DA0">
        <w:t>1</w:t>
      </w:r>
    </w:fldSimple>
    <w:r>
      <w:rPr>
        <w:noProof/>
        <w:sz w:val="20"/>
        <w:szCs w:val="20"/>
      </w:rPr>
      <w:tab/>
      <w:t>Verison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9BBD" w14:textId="77777777" w:rsidR="00CF437E" w:rsidRDefault="00CF437E" w:rsidP="00334384">
      <w:pPr>
        <w:spacing w:line="240" w:lineRule="auto"/>
      </w:pPr>
      <w:r>
        <w:separator/>
      </w:r>
    </w:p>
  </w:footnote>
  <w:footnote w:type="continuationSeparator" w:id="0">
    <w:p w14:paraId="79A531F1" w14:textId="77777777" w:rsidR="00CF437E" w:rsidRDefault="00CF437E" w:rsidP="00334384">
      <w:pPr>
        <w:spacing w:line="240" w:lineRule="auto"/>
      </w:pPr>
      <w:r>
        <w:continuationSeparator/>
      </w:r>
    </w:p>
  </w:footnote>
  <w:footnote w:type="continuationNotice" w:id="1">
    <w:p w14:paraId="4EA56F0C" w14:textId="77777777" w:rsidR="00CF437E" w:rsidRDefault="00CF43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072F" w14:textId="77777777" w:rsidR="00D81A6B" w:rsidRDefault="00D81A6B" w:rsidP="00372CB2">
    <w:pPr>
      <w:ind w:right="-1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507" w:hanging="272"/>
      </w:pPr>
      <w:rPr>
        <w:rFonts w:ascii="Arial" w:hAnsi="Arial" w:cs="Arial"/>
        <w:b w:val="0"/>
        <w:bCs w:val="0"/>
        <w:i w:val="0"/>
        <w:iCs w:val="0"/>
        <w:spacing w:val="0"/>
        <w:w w:val="100"/>
        <w:sz w:val="22"/>
        <w:szCs w:val="22"/>
      </w:rPr>
    </w:lvl>
    <w:lvl w:ilvl="1">
      <w:numFmt w:val="bullet"/>
      <w:lvlText w:val="•"/>
      <w:lvlJc w:val="left"/>
      <w:pPr>
        <w:ind w:left="7193" w:hanging="272"/>
      </w:pPr>
    </w:lvl>
    <w:lvl w:ilvl="2">
      <w:numFmt w:val="bullet"/>
      <w:lvlText w:val="•"/>
      <w:lvlJc w:val="left"/>
      <w:pPr>
        <w:ind w:left="7887" w:hanging="272"/>
      </w:pPr>
    </w:lvl>
    <w:lvl w:ilvl="3">
      <w:numFmt w:val="bullet"/>
      <w:lvlText w:val="•"/>
      <w:lvlJc w:val="left"/>
      <w:pPr>
        <w:ind w:left="8581" w:hanging="272"/>
      </w:pPr>
    </w:lvl>
    <w:lvl w:ilvl="4">
      <w:numFmt w:val="bullet"/>
      <w:lvlText w:val="•"/>
      <w:lvlJc w:val="left"/>
      <w:pPr>
        <w:ind w:left="9274" w:hanging="272"/>
      </w:pPr>
    </w:lvl>
    <w:lvl w:ilvl="5">
      <w:numFmt w:val="bullet"/>
      <w:lvlText w:val="•"/>
      <w:lvlJc w:val="left"/>
      <w:pPr>
        <w:ind w:left="9968" w:hanging="272"/>
      </w:pPr>
    </w:lvl>
    <w:lvl w:ilvl="6">
      <w:numFmt w:val="bullet"/>
      <w:lvlText w:val="•"/>
      <w:lvlJc w:val="left"/>
      <w:pPr>
        <w:ind w:left="10662" w:hanging="272"/>
      </w:pPr>
    </w:lvl>
    <w:lvl w:ilvl="7">
      <w:numFmt w:val="bullet"/>
      <w:lvlText w:val="•"/>
      <w:lvlJc w:val="left"/>
      <w:pPr>
        <w:ind w:left="11356" w:hanging="272"/>
      </w:pPr>
    </w:lvl>
    <w:lvl w:ilvl="8">
      <w:numFmt w:val="bullet"/>
      <w:lvlText w:val="•"/>
      <w:lvlJc w:val="left"/>
      <w:pPr>
        <w:ind w:left="12049" w:hanging="272"/>
      </w:pPr>
    </w:lvl>
  </w:abstractNum>
  <w:abstractNum w:abstractNumId="1" w15:restartNumberingAfterBreak="0">
    <w:nsid w:val="093869F8"/>
    <w:multiLevelType w:val="multilevel"/>
    <w:tmpl w:val="5DD2A292"/>
    <w:lvl w:ilvl="0">
      <w:start w:val="4"/>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i w:val="0"/>
        <w:iCs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5272B5"/>
    <w:multiLevelType w:val="multilevel"/>
    <w:tmpl w:val="AF12F466"/>
    <w:lvl w:ilvl="0">
      <w:start w:val="1"/>
      <w:numFmt w:val="decimal"/>
      <w:lvlText w:val="%1."/>
      <w:lvlJc w:val="left"/>
      <w:pPr>
        <w:ind w:left="360" w:hanging="360"/>
      </w:pPr>
      <w:rPr>
        <w:rFonts w:hint="default"/>
        <w:b/>
        <w:bCs/>
        <w:sz w:val="22"/>
        <w:szCs w:val="22"/>
      </w:rPr>
    </w:lvl>
    <w:lvl w:ilvl="1">
      <w:start w:val="1"/>
      <w:numFmt w:val="decimal"/>
      <w:lvlText w:val="%1.%2."/>
      <w:lvlJc w:val="left"/>
      <w:pPr>
        <w:ind w:left="432" w:hanging="432"/>
      </w:pPr>
      <w:rPr>
        <w:rFonts w:ascii="Arial" w:hAnsi="Arial" w:cs="Arial" w:hint="default"/>
        <w:b w:val="0"/>
        <w:bCs w:val="0"/>
        <w:i w:val="0"/>
        <w:iCs w:val="0"/>
        <w:color w:val="auto"/>
        <w:sz w:val="22"/>
        <w:szCs w:val="22"/>
        <w:lang w:val="en-US"/>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62289"/>
    <w:multiLevelType w:val="multilevel"/>
    <w:tmpl w:val="0FB8736C"/>
    <w:lvl w:ilvl="0">
      <w:start w:val="3"/>
      <w:numFmt w:val="decimal"/>
      <w:lvlText w:val="%1"/>
      <w:lvlJc w:val="left"/>
      <w:pPr>
        <w:ind w:left="360" w:hanging="360"/>
      </w:pPr>
      <w:rPr>
        <w:rFonts w:eastAsia="ヒラギノ角ゴ Pro W3" w:hint="default"/>
      </w:rPr>
    </w:lvl>
    <w:lvl w:ilvl="1">
      <w:start w:val="3"/>
      <w:numFmt w:val="decimal"/>
      <w:lvlText w:val="%1.%2"/>
      <w:lvlJc w:val="left"/>
      <w:pPr>
        <w:ind w:left="360" w:hanging="360"/>
      </w:pPr>
      <w:rPr>
        <w:rFonts w:eastAsia="ヒラギノ角ゴ Pro W3" w:hint="default"/>
      </w:rPr>
    </w:lvl>
    <w:lvl w:ilvl="2">
      <w:start w:val="1"/>
      <w:numFmt w:val="decimal"/>
      <w:lvlText w:val="%1.%2.%3"/>
      <w:lvlJc w:val="left"/>
      <w:pPr>
        <w:ind w:left="720" w:hanging="720"/>
      </w:pPr>
      <w:rPr>
        <w:rFonts w:eastAsia="ヒラギノ角ゴ Pro W3" w:hint="default"/>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440" w:hanging="144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800" w:hanging="180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4" w15:restartNumberingAfterBreak="0">
    <w:nsid w:val="276A49B2"/>
    <w:multiLevelType w:val="multilevel"/>
    <w:tmpl w:val="B7A01A34"/>
    <w:lvl w:ilvl="0">
      <w:start w:val="5"/>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9044A40"/>
    <w:multiLevelType w:val="multilevel"/>
    <w:tmpl w:val="80EA21AE"/>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ascii="Arial" w:hAnsi="Arial" w:cs="Arial" w:hint="default"/>
        <w:sz w:val="22"/>
        <w:szCs w:val="22"/>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567F98"/>
    <w:multiLevelType w:val="multilevel"/>
    <w:tmpl w:val="B33A6F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0E0241"/>
    <w:multiLevelType w:val="hybridMultilevel"/>
    <w:tmpl w:val="B398737A"/>
    <w:lvl w:ilvl="0" w:tplc="6A0A8A68">
      <w:start w:val="1"/>
      <w:numFmt w:val="bullet"/>
      <w:pStyle w:val="List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8" w15:restartNumberingAfterBreak="0">
    <w:nsid w:val="49C66C00"/>
    <w:multiLevelType w:val="multilevel"/>
    <w:tmpl w:val="FB440A4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BD774B"/>
    <w:multiLevelType w:val="hybridMultilevel"/>
    <w:tmpl w:val="9A8ECC9E"/>
    <w:lvl w:ilvl="0" w:tplc="050AC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EC14B4"/>
    <w:multiLevelType w:val="multilevel"/>
    <w:tmpl w:val="C8866A6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754983022">
    <w:abstractNumId w:val="2"/>
  </w:num>
  <w:num w:numId="2" w16cid:durableId="677150068">
    <w:abstractNumId w:val="5"/>
  </w:num>
  <w:num w:numId="3" w16cid:durableId="114908310">
    <w:abstractNumId w:val="6"/>
  </w:num>
  <w:num w:numId="4" w16cid:durableId="2112777653">
    <w:abstractNumId w:val="4"/>
  </w:num>
  <w:num w:numId="5" w16cid:durableId="1506288986">
    <w:abstractNumId w:val="1"/>
  </w:num>
  <w:num w:numId="6" w16cid:durableId="610862713">
    <w:abstractNumId w:val="3"/>
  </w:num>
  <w:num w:numId="7" w16cid:durableId="724838986">
    <w:abstractNumId w:val="7"/>
  </w:num>
  <w:num w:numId="8" w16cid:durableId="1045786892">
    <w:abstractNumId w:val="9"/>
  </w:num>
  <w:num w:numId="9" w16cid:durableId="2060737826">
    <w:abstractNumId w:val="8"/>
  </w:num>
  <w:num w:numId="10" w16cid:durableId="1230581821">
    <w:abstractNumId w:val="10"/>
  </w:num>
  <w:num w:numId="11" w16cid:durableId="4828941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8F"/>
    <w:rsid w:val="00000E16"/>
    <w:rsid w:val="00001D5A"/>
    <w:rsid w:val="000032C8"/>
    <w:rsid w:val="000052A0"/>
    <w:rsid w:val="00006B5F"/>
    <w:rsid w:val="00012B81"/>
    <w:rsid w:val="00014349"/>
    <w:rsid w:val="000201B8"/>
    <w:rsid w:val="00024D2C"/>
    <w:rsid w:val="00030671"/>
    <w:rsid w:val="00032228"/>
    <w:rsid w:val="000339C1"/>
    <w:rsid w:val="0003722B"/>
    <w:rsid w:val="00037D2D"/>
    <w:rsid w:val="00040293"/>
    <w:rsid w:val="00040CDE"/>
    <w:rsid w:val="00043A38"/>
    <w:rsid w:val="000442AC"/>
    <w:rsid w:val="000448E0"/>
    <w:rsid w:val="00065472"/>
    <w:rsid w:val="00065AB1"/>
    <w:rsid w:val="00067548"/>
    <w:rsid w:val="00067DE9"/>
    <w:rsid w:val="0007393A"/>
    <w:rsid w:val="00073EBD"/>
    <w:rsid w:val="000746F6"/>
    <w:rsid w:val="0008020D"/>
    <w:rsid w:val="00082529"/>
    <w:rsid w:val="00082DBD"/>
    <w:rsid w:val="000852BB"/>
    <w:rsid w:val="00086035"/>
    <w:rsid w:val="00090563"/>
    <w:rsid w:val="00093DB3"/>
    <w:rsid w:val="00094797"/>
    <w:rsid w:val="000A49E0"/>
    <w:rsid w:val="000B1234"/>
    <w:rsid w:val="000B18B7"/>
    <w:rsid w:val="000B34B1"/>
    <w:rsid w:val="000B3AC5"/>
    <w:rsid w:val="000B6D0E"/>
    <w:rsid w:val="000C1C3E"/>
    <w:rsid w:val="000C332F"/>
    <w:rsid w:val="000C5C07"/>
    <w:rsid w:val="000C6C34"/>
    <w:rsid w:val="000D2F55"/>
    <w:rsid w:val="000D4EA8"/>
    <w:rsid w:val="000E0F11"/>
    <w:rsid w:val="000E300E"/>
    <w:rsid w:val="000E4E9A"/>
    <w:rsid w:val="000E757B"/>
    <w:rsid w:val="000F1742"/>
    <w:rsid w:val="000F3B80"/>
    <w:rsid w:val="000F4B55"/>
    <w:rsid w:val="000F6D35"/>
    <w:rsid w:val="00100127"/>
    <w:rsid w:val="00102E9B"/>
    <w:rsid w:val="001030CB"/>
    <w:rsid w:val="001040E3"/>
    <w:rsid w:val="0011009B"/>
    <w:rsid w:val="00110EA1"/>
    <w:rsid w:val="00113332"/>
    <w:rsid w:val="0011335D"/>
    <w:rsid w:val="0012007B"/>
    <w:rsid w:val="00120569"/>
    <w:rsid w:val="00124052"/>
    <w:rsid w:val="00125244"/>
    <w:rsid w:val="0012685D"/>
    <w:rsid w:val="00130294"/>
    <w:rsid w:val="001303D0"/>
    <w:rsid w:val="00130BF0"/>
    <w:rsid w:val="00132314"/>
    <w:rsid w:val="001332D3"/>
    <w:rsid w:val="00137155"/>
    <w:rsid w:val="0014047F"/>
    <w:rsid w:val="00144DDE"/>
    <w:rsid w:val="001500CF"/>
    <w:rsid w:val="00150C98"/>
    <w:rsid w:val="00151E3E"/>
    <w:rsid w:val="00152B95"/>
    <w:rsid w:val="00152BC8"/>
    <w:rsid w:val="00155178"/>
    <w:rsid w:val="00155A4A"/>
    <w:rsid w:val="0015789F"/>
    <w:rsid w:val="00157ABC"/>
    <w:rsid w:val="001609CE"/>
    <w:rsid w:val="00163289"/>
    <w:rsid w:val="001642BA"/>
    <w:rsid w:val="00172EB4"/>
    <w:rsid w:val="00173249"/>
    <w:rsid w:val="00173996"/>
    <w:rsid w:val="00174F38"/>
    <w:rsid w:val="001754B2"/>
    <w:rsid w:val="00175928"/>
    <w:rsid w:val="00177D59"/>
    <w:rsid w:val="0018081C"/>
    <w:rsid w:val="00181FC6"/>
    <w:rsid w:val="00184494"/>
    <w:rsid w:val="00185B1E"/>
    <w:rsid w:val="0018752A"/>
    <w:rsid w:val="00187747"/>
    <w:rsid w:val="0019017B"/>
    <w:rsid w:val="00191E7D"/>
    <w:rsid w:val="00192807"/>
    <w:rsid w:val="0019489E"/>
    <w:rsid w:val="00196AE0"/>
    <w:rsid w:val="00196FE3"/>
    <w:rsid w:val="001A2166"/>
    <w:rsid w:val="001A2590"/>
    <w:rsid w:val="001A3052"/>
    <w:rsid w:val="001A5B5D"/>
    <w:rsid w:val="001A6905"/>
    <w:rsid w:val="001B2173"/>
    <w:rsid w:val="001B323C"/>
    <w:rsid w:val="001B3BFA"/>
    <w:rsid w:val="001B4B1B"/>
    <w:rsid w:val="001B4BE6"/>
    <w:rsid w:val="001B6DE2"/>
    <w:rsid w:val="001B7339"/>
    <w:rsid w:val="001B7B7D"/>
    <w:rsid w:val="001B7CF3"/>
    <w:rsid w:val="001B7FA0"/>
    <w:rsid w:val="001C290C"/>
    <w:rsid w:val="001C6639"/>
    <w:rsid w:val="001D2510"/>
    <w:rsid w:val="001D2B81"/>
    <w:rsid w:val="001D4AEA"/>
    <w:rsid w:val="001D52C8"/>
    <w:rsid w:val="001D5624"/>
    <w:rsid w:val="001E17F8"/>
    <w:rsid w:val="001E2DA9"/>
    <w:rsid w:val="001E3C02"/>
    <w:rsid w:val="001E5E61"/>
    <w:rsid w:val="001E6736"/>
    <w:rsid w:val="001E6CA2"/>
    <w:rsid w:val="001F10F5"/>
    <w:rsid w:val="001F33CE"/>
    <w:rsid w:val="001F46AB"/>
    <w:rsid w:val="002016A5"/>
    <w:rsid w:val="00202B5A"/>
    <w:rsid w:val="00202E26"/>
    <w:rsid w:val="00202F0B"/>
    <w:rsid w:val="002102D8"/>
    <w:rsid w:val="002127DC"/>
    <w:rsid w:val="00215670"/>
    <w:rsid w:val="00215708"/>
    <w:rsid w:val="002161DB"/>
    <w:rsid w:val="0022215E"/>
    <w:rsid w:val="0022285F"/>
    <w:rsid w:val="00224C6B"/>
    <w:rsid w:val="00226530"/>
    <w:rsid w:val="00231D4F"/>
    <w:rsid w:val="002335DA"/>
    <w:rsid w:val="00237D69"/>
    <w:rsid w:val="00237ECD"/>
    <w:rsid w:val="00240B16"/>
    <w:rsid w:val="00241C9C"/>
    <w:rsid w:val="0024261D"/>
    <w:rsid w:val="00244266"/>
    <w:rsid w:val="00252C6E"/>
    <w:rsid w:val="00253F45"/>
    <w:rsid w:val="00254C0D"/>
    <w:rsid w:val="002604D1"/>
    <w:rsid w:val="002631FD"/>
    <w:rsid w:val="00263E68"/>
    <w:rsid w:val="002658F9"/>
    <w:rsid w:val="00270181"/>
    <w:rsid w:val="002727BD"/>
    <w:rsid w:val="002760D5"/>
    <w:rsid w:val="00277239"/>
    <w:rsid w:val="0027789E"/>
    <w:rsid w:val="00277E9B"/>
    <w:rsid w:val="002814DA"/>
    <w:rsid w:val="00282D60"/>
    <w:rsid w:val="002904B3"/>
    <w:rsid w:val="00292F4A"/>
    <w:rsid w:val="00293FAB"/>
    <w:rsid w:val="00295E6A"/>
    <w:rsid w:val="002A0E3A"/>
    <w:rsid w:val="002A480D"/>
    <w:rsid w:val="002A5E1B"/>
    <w:rsid w:val="002A6133"/>
    <w:rsid w:val="002A7817"/>
    <w:rsid w:val="002B3E63"/>
    <w:rsid w:val="002B43C2"/>
    <w:rsid w:val="002B4D1D"/>
    <w:rsid w:val="002B763B"/>
    <w:rsid w:val="002B7E9C"/>
    <w:rsid w:val="002C3768"/>
    <w:rsid w:val="002C648C"/>
    <w:rsid w:val="002D0327"/>
    <w:rsid w:val="002D2E54"/>
    <w:rsid w:val="002D3D20"/>
    <w:rsid w:val="002D4093"/>
    <w:rsid w:val="002D5DEE"/>
    <w:rsid w:val="002D6720"/>
    <w:rsid w:val="002E1D13"/>
    <w:rsid w:val="002E1F58"/>
    <w:rsid w:val="002E234C"/>
    <w:rsid w:val="002E30D4"/>
    <w:rsid w:val="002E41A1"/>
    <w:rsid w:val="002E4A39"/>
    <w:rsid w:val="002E565A"/>
    <w:rsid w:val="002F1038"/>
    <w:rsid w:val="002F1C14"/>
    <w:rsid w:val="002F3577"/>
    <w:rsid w:val="002F65FA"/>
    <w:rsid w:val="003008C8"/>
    <w:rsid w:val="003018D3"/>
    <w:rsid w:val="003027C8"/>
    <w:rsid w:val="00302D98"/>
    <w:rsid w:val="00311F25"/>
    <w:rsid w:val="00315A0E"/>
    <w:rsid w:val="00317FDF"/>
    <w:rsid w:val="003206E3"/>
    <w:rsid w:val="00320E8B"/>
    <w:rsid w:val="00321556"/>
    <w:rsid w:val="00323298"/>
    <w:rsid w:val="0032354F"/>
    <w:rsid w:val="00326187"/>
    <w:rsid w:val="0033115F"/>
    <w:rsid w:val="0033296E"/>
    <w:rsid w:val="00333DEB"/>
    <w:rsid w:val="00334384"/>
    <w:rsid w:val="00334CB0"/>
    <w:rsid w:val="00336C02"/>
    <w:rsid w:val="00345895"/>
    <w:rsid w:val="003501D8"/>
    <w:rsid w:val="003506E9"/>
    <w:rsid w:val="0035154C"/>
    <w:rsid w:val="00357EB2"/>
    <w:rsid w:val="00361858"/>
    <w:rsid w:val="00363A3A"/>
    <w:rsid w:val="00365640"/>
    <w:rsid w:val="00372CB2"/>
    <w:rsid w:val="0037409C"/>
    <w:rsid w:val="00374763"/>
    <w:rsid w:val="00376600"/>
    <w:rsid w:val="003800D7"/>
    <w:rsid w:val="00382D1B"/>
    <w:rsid w:val="003830C1"/>
    <w:rsid w:val="00383609"/>
    <w:rsid w:val="00384FB7"/>
    <w:rsid w:val="0038628C"/>
    <w:rsid w:val="0038790C"/>
    <w:rsid w:val="00391C18"/>
    <w:rsid w:val="003974DC"/>
    <w:rsid w:val="003A0AA0"/>
    <w:rsid w:val="003A4EF5"/>
    <w:rsid w:val="003A5FE5"/>
    <w:rsid w:val="003A6377"/>
    <w:rsid w:val="003A654B"/>
    <w:rsid w:val="003A6B5A"/>
    <w:rsid w:val="003A74D1"/>
    <w:rsid w:val="003B196B"/>
    <w:rsid w:val="003B34D7"/>
    <w:rsid w:val="003B41EF"/>
    <w:rsid w:val="003B73B8"/>
    <w:rsid w:val="003B7E9D"/>
    <w:rsid w:val="003C3FF9"/>
    <w:rsid w:val="003C5035"/>
    <w:rsid w:val="003C559A"/>
    <w:rsid w:val="003C73B0"/>
    <w:rsid w:val="003C795F"/>
    <w:rsid w:val="003D0323"/>
    <w:rsid w:val="003D1705"/>
    <w:rsid w:val="003D17FB"/>
    <w:rsid w:val="003D3C7F"/>
    <w:rsid w:val="003D6115"/>
    <w:rsid w:val="003E1C6B"/>
    <w:rsid w:val="003E3383"/>
    <w:rsid w:val="003E4D6B"/>
    <w:rsid w:val="003F0B03"/>
    <w:rsid w:val="003F20E4"/>
    <w:rsid w:val="003F252D"/>
    <w:rsid w:val="003F2E4D"/>
    <w:rsid w:val="003F4512"/>
    <w:rsid w:val="003F550E"/>
    <w:rsid w:val="003F67F9"/>
    <w:rsid w:val="00402AFA"/>
    <w:rsid w:val="00404358"/>
    <w:rsid w:val="004066FF"/>
    <w:rsid w:val="004072E2"/>
    <w:rsid w:val="00412471"/>
    <w:rsid w:val="00413047"/>
    <w:rsid w:val="00413CDA"/>
    <w:rsid w:val="00413D24"/>
    <w:rsid w:val="00413D71"/>
    <w:rsid w:val="00414740"/>
    <w:rsid w:val="0041552E"/>
    <w:rsid w:val="004239E2"/>
    <w:rsid w:val="00424614"/>
    <w:rsid w:val="00424BAE"/>
    <w:rsid w:val="00425F66"/>
    <w:rsid w:val="00426071"/>
    <w:rsid w:val="00427832"/>
    <w:rsid w:val="004333FF"/>
    <w:rsid w:val="004345E9"/>
    <w:rsid w:val="00434A5D"/>
    <w:rsid w:val="0043584F"/>
    <w:rsid w:val="00436FA2"/>
    <w:rsid w:val="00442FD9"/>
    <w:rsid w:val="004469CA"/>
    <w:rsid w:val="004521C6"/>
    <w:rsid w:val="00453771"/>
    <w:rsid w:val="00456B84"/>
    <w:rsid w:val="004629FF"/>
    <w:rsid w:val="00464048"/>
    <w:rsid w:val="00464EA5"/>
    <w:rsid w:val="00465098"/>
    <w:rsid w:val="00467AA2"/>
    <w:rsid w:val="00470AEE"/>
    <w:rsid w:val="00470D3D"/>
    <w:rsid w:val="00471936"/>
    <w:rsid w:val="004720F5"/>
    <w:rsid w:val="00473715"/>
    <w:rsid w:val="00475437"/>
    <w:rsid w:val="00475CE2"/>
    <w:rsid w:val="00477B92"/>
    <w:rsid w:val="004802F4"/>
    <w:rsid w:val="004816DA"/>
    <w:rsid w:val="00483CE4"/>
    <w:rsid w:val="00483DC1"/>
    <w:rsid w:val="00485C4A"/>
    <w:rsid w:val="00486A4F"/>
    <w:rsid w:val="00490D7A"/>
    <w:rsid w:val="00492BE5"/>
    <w:rsid w:val="004952D3"/>
    <w:rsid w:val="004957B6"/>
    <w:rsid w:val="0049670C"/>
    <w:rsid w:val="004A0078"/>
    <w:rsid w:val="004A1940"/>
    <w:rsid w:val="004A55ED"/>
    <w:rsid w:val="004A5C6F"/>
    <w:rsid w:val="004A6BCE"/>
    <w:rsid w:val="004A7FC5"/>
    <w:rsid w:val="004B06D7"/>
    <w:rsid w:val="004B2D6B"/>
    <w:rsid w:val="004B2DE8"/>
    <w:rsid w:val="004B42A0"/>
    <w:rsid w:val="004B4990"/>
    <w:rsid w:val="004B5746"/>
    <w:rsid w:val="004B57BB"/>
    <w:rsid w:val="004B5AB1"/>
    <w:rsid w:val="004B7402"/>
    <w:rsid w:val="004B797A"/>
    <w:rsid w:val="004B7AF2"/>
    <w:rsid w:val="004C2C29"/>
    <w:rsid w:val="004C38AD"/>
    <w:rsid w:val="004C4894"/>
    <w:rsid w:val="004C4CF1"/>
    <w:rsid w:val="004C5C1D"/>
    <w:rsid w:val="004C6092"/>
    <w:rsid w:val="004C6D01"/>
    <w:rsid w:val="004D0BAE"/>
    <w:rsid w:val="004D116D"/>
    <w:rsid w:val="004D13E5"/>
    <w:rsid w:val="004D5638"/>
    <w:rsid w:val="004E0626"/>
    <w:rsid w:val="004E0E79"/>
    <w:rsid w:val="004E2836"/>
    <w:rsid w:val="004E6988"/>
    <w:rsid w:val="004F0637"/>
    <w:rsid w:val="004F2702"/>
    <w:rsid w:val="004F57B8"/>
    <w:rsid w:val="004F583B"/>
    <w:rsid w:val="004F6F29"/>
    <w:rsid w:val="00502AC5"/>
    <w:rsid w:val="0050413F"/>
    <w:rsid w:val="005057DA"/>
    <w:rsid w:val="00506AE7"/>
    <w:rsid w:val="00510CD5"/>
    <w:rsid w:val="00511672"/>
    <w:rsid w:val="00511A04"/>
    <w:rsid w:val="00511B58"/>
    <w:rsid w:val="00516D64"/>
    <w:rsid w:val="00524768"/>
    <w:rsid w:val="005262CD"/>
    <w:rsid w:val="00526BC9"/>
    <w:rsid w:val="00531CCC"/>
    <w:rsid w:val="00532EDF"/>
    <w:rsid w:val="00533E76"/>
    <w:rsid w:val="005343F2"/>
    <w:rsid w:val="00535EC7"/>
    <w:rsid w:val="00535F99"/>
    <w:rsid w:val="00536B4A"/>
    <w:rsid w:val="005402BC"/>
    <w:rsid w:val="00542DAA"/>
    <w:rsid w:val="00544588"/>
    <w:rsid w:val="0054682F"/>
    <w:rsid w:val="005471E0"/>
    <w:rsid w:val="00552EEF"/>
    <w:rsid w:val="005543B0"/>
    <w:rsid w:val="00556157"/>
    <w:rsid w:val="00557F9C"/>
    <w:rsid w:val="005601EE"/>
    <w:rsid w:val="005619E0"/>
    <w:rsid w:val="00563125"/>
    <w:rsid w:val="00563761"/>
    <w:rsid w:val="0056506C"/>
    <w:rsid w:val="00565AB9"/>
    <w:rsid w:val="00577229"/>
    <w:rsid w:val="00581D9D"/>
    <w:rsid w:val="00584792"/>
    <w:rsid w:val="005853A8"/>
    <w:rsid w:val="005859D3"/>
    <w:rsid w:val="00587725"/>
    <w:rsid w:val="00591259"/>
    <w:rsid w:val="00594560"/>
    <w:rsid w:val="005A0FEF"/>
    <w:rsid w:val="005A1641"/>
    <w:rsid w:val="005A1C3A"/>
    <w:rsid w:val="005A2A6B"/>
    <w:rsid w:val="005A2BEB"/>
    <w:rsid w:val="005A5388"/>
    <w:rsid w:val="005A7005"/>
    <w:rsid w:val="005B3203"/>
    <w:rsid w:val="005B5672"/>
    <w:rsid w:val="005B74B2"/>
    <w:rsid w:val="005C0B4B"/>
    <w:rsid w:val="005C2D70"/>
    <w:rsid w:val="005C41B5"/>
    <w:rsid w:val="005C546A"/>
    <w:rsid w:val="005C7EF4"/>
    <w:rsid w:val="005D47D7"/>
    <w:rsid w:val="005D4B1F"/>
    <w:rsid w:val="005D4B60"/>
    <w:rsid w:val="005E4A7B"/>
    <w:rsid w:val="005E52DB"/>
    <w:rsid w:val="005E784A"/>
    <w:rsid w:val="005F11D3"/>
    <w:rsid w:val="005F3CE9"/>
    <w:rsid w:val="005F467A"/>
    <w:rsid w:val="006109B9"/>
    <w:rsid w:val="00611D5A"/>
    <w:rsid w:val="00613D04"/>
    <w:rsid w:val="00614D4F"/>
    <w:rsid w:val="00616088"/>
    <w:rsid w:val="006213BB"/>
    <w:rsid w:val="0062237C"/>
    <w:rsid w:val="006240F4"/>
    <w:rsid w:val="0062799B"/>
    <w:rsid w:val="0063011E"/>
    <w:rsid w:val="006315DF"/>
    <w:rsid w:val="00637A53"/>
    <w:rsid w:val="00642B91"/>
    <w:rsid w:val="006572CD"/>
    <w:rsid w:val="00657B9B"/>
    <w:rsid w:val="00664022"/>
    <w:rsid w:val="006658AC"/>
    <w:rsid w:val="00672E0D"/>
    <w:rsid w:val="00681970"/>
    <w:rsid w:val="006822E7"/>
    <w:rsid w:val="00682C37"/>
    <w:rsid w:val="00682EBD"/>
    <w:rsid w:val="006848CB"/>
    <w:rsid w:val="00684C56"/>
    <w:rsid w:val="006909F8"/>
    <w:rsid w:val="00690A8B"/>
    <w:rsid w:val="00693940"/>
    <w:rsid w:val="006962FB"/>
    <w:rsid w:val="006A72E6"/>
    <w:rsid w:val="006C191A"/>
    <w:rsid w:val="006C4E4D"/>
    <w:rsid w:val="006C551B"/>
    <w:rsid w:val="006C6AF2"/>
    <w:rsid w:val="006C796D"/>
    <w:rsid w:val="006D4621"/>
    <w:rsid w:val="006D58D4"/>
    <w:rsid w:val="006D75BE"/>
    <w:rsid w:val="006D7DA3"/>
    <w:rsid w:val="006E52C0"/>
    <w:rsid w:val="006E7A9A"/>
    <w:rsid w:val="006F3262"/>
    <w:rsid w:val="00705BC2"/>
    <w:rsid w:val="00706BB1"/>
    <w:rsid w:val="007076CA"/>
    <w:rsid w:val="007141C5"/>
    <w:rsid w:val="00714C76"/>
    <w:rsid w:val="00716B30"/>
    <w:rsid w:val="00717E0F"/>
    <w:rsid w:val="00721229"/>
    <w:rsid w:val="0072213A"/>
    <w:rsid w:val="007227FF"/>
    <w:rsid w:val="007244F4"/>
    <w:rsid w:val="007245E5"/>
    <w:rsid w:val="00725C76"/>
    <w:rsid w:val="00725E2C"/>
    <w:rsid w:val="00727057"/>
    <w:rsid w:val="00734303"/>
    <w:rsid w:val="007362E1"/>
    <w:rsid w:val="00736956"/>
    <w:rsid w:val="0073700F"/>
    <w:rsid w:val="00741D27"/>
    <w:rsid w:val="00742613"/>
    <w:rsid w:val="00743D66"/>
    <w:rsid w:val="00745278"/>
    <w:rsid w:val="007453CF"/>
    <w:rsid w:val="00747A47"/>
    <w:rsid w:val="0075101E"/>
    <w:rsid w:val="00752DBB"/>
    <w:rsid w:val="00755C1B"/>
    <w:rsid w:val="007631E2"/>
    <w:rsid w:val="0076361E"/>
    <w:rsid w:val="00763AB8"/>
    <w:rsid w:val="00765612"/>
    <w:rsid w:val="007656FC"/>
    <w:rsid w:val="00765D33"/>
    <w:rsid w:val="00766224"/>
    <w:rsid w:val="0076632C"/>
    <w:rsid w:val="00772733"/>
    <w:rsid w:val="0077389F"/>
    <w:rsid w:val="00775212"/>
    <w:rsid w:val="00775E6A"/>
    <w:rsid w:val="00787727"/>
    <w:rsid w:val="00792BCF"/>
    <w:rsid w:val="0079610D"/>
    <w:rsid w:val="007961A6"/>
    <w:rsid w:val="007A3A13"/>
    <w:rsid w:val="007A4373"/>
    <w:rsid w:val="007A7E0C"/>
    <w:rsid w:val="007B3CC5"/>
    <w:rsid w:val="007B40DC"/>
    <w:rsid w:val="007B4AFE"/>
    <w:rsid w:val="007C0599"/>
    <w:rsid w:val="007C061B"/>
    <w:rsid w:val="007C063D"/>
    <w:rsid w:val="007C12D7"/>
    <w:rsid w:val="007C2437"/>
    <w:rsid w:val="007C4CE2"/>
    <w:rsid w:val="007C4F73"/>
    <w:rsid w:val="007C5D34"/>
    <w:rsid w:val="007C5D3B"/>
    <w:rsid w:val="007D3742"/>
    <w:rsid w:val="007D5D3E"/>
    <w:rsid w:val="007E20BA"/>
    <w:rsid w:val="007F0343"/>
    <w:rsid w:val="007F1489"/>
    <w:rsid w:val="007F47CB"/>
    <w:rsid w:val="007F54BF"/>
    <w:rsid w:val="007F5E75"/>
    <w:rsid w:val="007F6849"/>
    <w:rsid w:val="00803938"/>
    <w:rsid w:val="00803EBA"/>
    <w:rsid w:val="0080407A"/>
    <w:rsid w:val="00804B00"/>
    <w:rsid w:val="00804C66"/>
    <w:rsid w:val="00804D40"/>
    <w:rsid w:val="00811AF3"/>
    <w:rsid w:val="0081229B"/>
    <w:rsid w:val="008165FA"/>
    <w:rsid w:val="00817C41"/>
    <w:rsid w:val="00820654"/>
    <w:rsid w:val="00820FFE"/>
    <w:rsid w:val="008211FC"/>
    <w:rsid w:val="00822F8E"/>
    <w:rsid w:val="00824B84"/>
    <w:rsid w:val="00830D74"/>
    <w:rsid w:val="00835B1A"/>
    <w:rsid w:val="00842A7A"/>
    <w:rsid w:val="00843893"/>
    <w:rsid w:val="00847B55"/>
    <w:rsid w:val="00861329"/>
    <w:rsid w:val="00861986"/>
    <w:rsid w:val="00862EAA"/>
    <w:rsid w:val="008631F8"/>
    <w:rsid w:val="008645F7"/>
    <w:rsid w:val="0086490E"/>
    <w:rsid w:val="00865601"/>
    <w:rsid w:val="00874431"/>
    <w:rsid w:val="00875478"/>
    <w:rsid w:val="00876D43"/>
    <w:rsid w:val="008809FC"/>
    <w:rsid w:val="00881478"/>
    <w:rsid w:val="008816B8"/>
    <w:rsid w:val="00882BFD"/>
    <w:rsid w:val="00883293"/>
    <w:rsid w:val="00885FE2"/>
    <w:rsid w:val="00887680"/>
    <w:rsid w:val="0089283E"/>
    <w:rsid w:val="00897B81"/>
    <w:rsid w:val="00897EFA"/>
    <w:rsid w:val="008A2861"/>
    <w:rsid w:val="008A65E4"/>
    <w:rsid w:val="008A6EFF"/>
    <w:rsid w:val="008A7038"/>
    <w:rsid w:val="008B003C"/>
    <w:rsid w:val="008B08EF"/>
    <w:rsid w:val="008B2544"/>
    <w:rsid w:val="008B25FD"/>
    <w:rsid w:val="008B3A55"/>
    <w:rsid w:val="008B62BF"/>
    <w:rsid w:val="008B72D7"/>
    <w:rsid w:val="008C0155"/>
    <w:rsid w:val="008C2735"/>
    <w:rsid w:val="008C5DC7"/>
    <w:rsid w:val="008D45C1"/>
    <w:rsid w:val="008E1474"/>
    <w:rsid w:val="008E6BDF"/>
    <w:rsid w:val="008E77D6"/>
    <w:rsid w:val="008F2963"/>
    <w:rsid w:val="008F3730"/>
    <w:rsid w:val="008F4C6D"/>
    <w:rsid w:val="008F79BD"/>
    <w:rsid w:val="0090003D"/>
    <w:rsid w:val="0090259F"/>
    <w:rsid w:val="009040A0"/>
    <w:rsid w:val="009115AB"/>
    <w:rsid w:val="00915C3E"/>
    <w:rsid w:val="009238FB"/>
    <w:rsid w:val="00925D7C"/>
    <w:rsid w:val="009269F0"/>
    <w:rsid w:val="0092737B"/>
    <w:rsid w:val="0093032E"/>
    <w:rsid w:val="009353FD"/>
    <w:rsid w:val="009355D0"/>
    <w:rsid w:val="00935C42"/>
    <w:rsid w:val="0093629B"/>
    <w:rsid w:val="00936CF0"/>
    <w:rsid w:val="00941B54"/>
    <w:rsid w:val="0094401E"/>
    <w:rsid w:val="00950F8F"/>
    <w:rsid w:val="00951164"/>
    <w:rsid w:val="009536E4"/>
    <w:rsid w:val="00954236"/>
    <w:rsid w:val="00956CC7"/>
    <w:rsid w:val="00961DC1"/>
    <w:rsid w:val="0096215D"/>
    <w:rsid w:val="0096340F"/>
    <w:rsid w:val="009637A4"/>
    <w:rsid w:val="00967C5C"/>
    <w:rsid w:val="0097093E"/>
    <w:rsid w:val="00975D00"/>
    <w:rsid w:val="009764C1"/>
    <w:rsid w:val="009773A2"/>
    <w:rsid w:val="0097774F"/>
    <w:rsid w:val="0098661A"/>
    <w:rsid w:val="00987A9B"/>
    <w:rsid w:val="00990DB0"/>
    <w:rsid w:val="00991514"/>
    <w:rsid w:val="00993AB4"/>
    <w:rsid w:val="0099523D"/>
    <w:rsid w:val="00995AEF"/>
    <w:rsid w:val="00995EA2"/>
    <w:rsid w:val="00996613"/>
    <w:rsid w:val="00996680"/>
    <w:rsid w:val="009978F4"/>
    <w:rsid w:val="0099790B"/>
    <w:rsid w:val="009A45F8"/>
    <w:rsid w:val="009A7609"/>
    <w:rsid w:val="009B4184"/>
    <w:rsid w:val="009B6894"/>
    <w:rsid w:val="009B6F88"/>
    <w:rsid w:val="009C1FC7"/>
    <w:rsid w:val="009C281D"/>
    <w:rsid w:val="009C354B"/>
    <w:rsid w:val="009C4F2F"/>
    <w:rsid w:val="009C6E6F"/>
    <w:rsid w:val="009D0169"/>
    <w:rsid w:val="009D3380"/>
    <w:rsid w:val="009D67D1"/>
    <w:rsid w:val="009D7B19"/>
    <w:rsid w:val="009E0449"/>
    <w:rsid w:val="009E24A6"/>
    <w:rsid w:val="009E2F63"/>
    <w:rsid w:val="009E372F"/>
    <w:rsid w:val="009E3E9D"/>
    <w:rsid w:val="009E5AE5"/>
    <w:rsid w:val="009F06E4"/>
    <w:rsid w:val="009F09F2"/>
    <w:rsid w:val="009F0CC0"/>
    <w:rsid w:val="009F3B4C"/>
    <w:rsid w:val="009F46FD"/>
    <w:rsid w:val="009F493C"/>
    <w:rsid w:val="009F5461"/>
    <w:rsid w:val="009F5A45"/>
    <w:rsid w:val="009F6BF5"/>
    <w:rsid w:val="009F711D"/>
    <w:rsid w:val="00A01AD8"/>
    <w:rsid w:val="00A02946"/>
    <w:rsid w:val="00A03924"/>
    <w:rsid w:val="00A03FC8"/>
    <w:rsid w:val="00A079F3"/>
    <w:rsid w:val="00A13DB5"/>
    <w:rsid w:val="00A14411"/>
    <w:rsid w:val="00A17FC1"/>
    <w:rsid w:val="00A202C9"/>
    <w:rsid w:val="00A23480"/>
    <w:rsid w:val="00A24842"/>
    <w:rsid w:val="00A252C9"/>
    <w:rsid w:val="00A260B4"/>
    <w:rsid w:val="00A35850"/>
    <w:rsid w:val="00A40659"/>
    <w:rsid w:val="00A41EA4"/>
    <w:rsid w:val="00A4336C"/>
    <w:rsid w:val="00A47610"/>
    <w:rsid w:val="00A55F5D"/>
    <w:rsid w:val="00A62B3E"/>
    <w:rsid w:val="00A62FA1"/>
    <w:rsid w:val="00A63D58"/>
    <w:rsid w:val="00A640C4"/>
    <w:rsid w:val="00A67485"/>
    <w:rsid w:val="00A71397"/>
    <w:rsid w:val="00A737E1"/>
    <w:rsid w:val="00A80B61"/>
    <w:rsid w:val="00A819BA"/>
    <w:rsid w:val="00A90A53"/>
    <w:rsid w:val="00A90FD5"/>
    <w:rsid w:val="00AA40F5"/>
    <w:rsid w:val="00AA4714"/>
    <w:rsid w:val="00AA4B1E"/>
    <w:rsid w:val="00AA5CEF"/>
    <w:rsid w:val="00AA6C7A"/>
    <w:rsid w:val="00AA7268"/>
    <w:rsid w:val="00AB0F82"/>
    <w:rsid w:val="00AB12ED"/>
    <w:rsid w:val="00AB53C4"/>
    <w:rsid w:val="00AB71F9"/>
    <w:rsid w:val="00AC0C90"/>
    <w:rsid w:val="00AC4FEF"/>
    <w:rsid w:val="00AC62F0"/>
    <w:rsid w:val="00AD039F"/>
    <w:rsid w:val="00AD15F5"/>
    <w:rsid w:val="00AD1EEA"/>
    <w:rsid w:val="00AD2E55"/>
    <w:rsid w:val="00AD4215"/>
    <w:rsid w:val="00AD5492"/>
    <w:rsid w:val="00AD561F"/>
    <w:rsid w:val="00AE09D1"/>
    <w:rsid w:val="00AE103A"/>
    <w:rsid w:val="00AE14C4"/>
    <w:rsid w:val="00AE2608"/>
    <w:rsid w:val="00AE4908"/>
    <w:rsid w:val="00AE59D4"/>
    <w:rsid w:val="00AF29F4"/>
    <w:rsid w:val="00AF2B2B"/>
    <w:rsid w:val="00B01D24"/>
    <w:rsid w:val="00B01E29"/>
    <w:rsid w:val="00B0270D"/>
    <w:rsid w:val="00B0286A"/>
    <w:rsid w:val="00B03526"/>
    <w:rsid w:val="00B048D9"/>
    <w:rsid w:val="00B06199"/>
    <w:rsid w:val="00B06A41"/>
    <w:rsid w:val="00B074AE"/>
    <w:rsid w:val="00B12BF0"/>
    <w:rsid w:val="00B15E0B"/>
    <w:rsid w:val="00B166C6"/>
    <w:rsid w:val="00B21640"/>
    <w:rsid w:val="00B23FCD"/>
    <w:rsid w:val="00B24EFB"/>
    <w:rsid w:val="00B25029"/>
    <w:rsid w:val="00B252AD"/>
    <w:rsid w:val="00B41E1C"/>
    <w:rsid w:val="00B4790D"/>
    <w:rsid w:val="00B521DB"/>
    <w:rsid w:val="00B5255B"/>
    <w:rsid w:val="00B60B4E"/>
    <w:rsid w:val="00B60F4A"/>
    <w:rsid w:val="00B6130C"/>
    <w:rsid w:val="00B6221C"/>
    <w:rsid w:val="00B63862"/>
    <w:rsid w:val="00B64C30"/>
    <w:rsid w:val="00B67018"/>
    <w:rsid w:val="00B72234"/>
    <w:rsid w:val="00B72307"/>
    <w:rsid w:val="00B72A7E"/>
    <w:rsid w:val="00B76B3D"/>
    <w:rsid w:val="00B76DE9"/>
    <w:rsid w:val="00B76E2A"/>
    <w:rsid w:val="00B77069"/>
    <w:rsid w:val="00B80394"/>
    <w:rsid w:val="00B811AD"/>
    <w:rsid w:val="00B81A20"/>
    <w:rsid w:val="00B81CD9"/>
    <w:rsid w:val="00B83841"/>
    <w:rsid w:val="00B84DF4"/>
    <w:rsid w:val="00B867F6"/>
    <w:rsid w:val="00B92488"/>
    <w:rsid w:val="00B9259C"/>
    <w:rsid w:val="00B93DD1"/>
    <w:rsid w:val="00B956E4"/>
    <w:rsid w:val="00B95B27"/>
    <w:rsid w:val="00B97584"/>
    <w:rsid w:val="00BA16D6"/>
    <w:rsid w:val="00BA3CC7"/>
    <w:rsid w:val="00BA5657"/>
    <w:rsid w:val="00BB09D8"/>
    <w:rsid w:val="00BB2442"/>
    <w:rsid w:val="00BB6D1D"/>
    <w:rsid w:val="00BB7A79"/>
    <w:rsid w:val="00BC2D31"/>
    <w:rsid w:val="00BC7CAC"/>
    <w:rsid w:val="00BD3506"/>
    <w:rsid w:val="00BD3BB8"/>
    <w:rsid w:val="00BD4F5A"/>
    <w:rsid w:val="00BD5142"/>
    <w:rsid w:val="00BE2489"/>
    <w:rsid w:val="00BE2D41"/>
    <w:rsid w:val="00BE45D8"/>
    <w:rsid w:val="00BE51CB"/>
    <w:rsid w:val="00BE5DCE"/>
    <w:rsid w:val="00BE7160"/>
    <w:rsid w:val="00BE7EF4"/>
    <w:rsid w:val="00BE7FED"/>
    <w:rsid w:val="00BF0879"/>
    <w:rsid w:val="00BF0EBC"/>
    <w:rsid w:val="00BF471D"/>
    <w:rsid w:val="00BF761D"/>
    <w:rsid w:val="00C0156B"/>
    <w:rsid w:val="00C03A45"/>
    <w:rsid w:val="00C04121"/>
    <w:rsid w:val="00C04EEF"/>
    <w:rsid w:val="00C06765"/>
    <w:rsid w:val="00C15206"/>
    <w:rsid w:val="00C16EA8"/>
    <w:rsid w:val="00C20166"/>
    <w:rsid w:val="00C2174D"/>
    <w:rsid w:val="00C2407D"/>
    <w:rsid w:val="00C2483F"/>
    <w:rsid w:val="00C24B9C"/>
    <w:rsid w:val="00C2516B"/>
    <w:rsid w:val="00C33B9E"/>
    <w:rsid w:val="00C350AD"/>
    <w:rsid w:val="00C35881"/>
    <w:rsid w:val="00C37B5F"/>
    <w:rsid w:val="00C40E4B"/>
    <w:rsid w:val="00C4126E"/>
    <w:rsid w:val="00C45A04"/>
    <w:rsid w:val="00C50B18"/>
    <w:rsid w:val="00C51E63"/>
    <w:rsid w:val="00C53092"/>
    <w:rsid w:val="00C568E5"/>
    <w:rsid w:val="00C575BC"/>
    <w:rsid w:val="00C57E0C"/>
    <w:rsid w:val="00C61036"/>
    <w:rsid w:val="00C62931"/>
    <w:rsid w:val="00C63A44"/>
    <w:rsid w:val="00C65FA9"/>
    <w:rsid w:val="00C71584"/>
    <w:rsid w:val="00C72926"/>
    <w:rsid w:val="00C73065"/>
    <w:rsid w:val="00C733DB"/>
    <w:rsid w:val="00C75842"/>
    <w:rsid w:val="00C81D35"/>
    <w:rsid w:val="00C87B82"/>
    <w:rsid w:val="00C90022"/>
    <w:rsid w:val="00C906B7"/>
    <w:rsid w:val="00C92840"/>
    <w:rsid w:val="00C92B08"/>
    <w:rsid w:val="00C94292"/>
    <w:rsid w:val="00C9549A"/>
    <w:rsid w:val="00C9550B"/>
    <w:rsid w:val="00CA05B1"/>
    <w:rsid w:val="00CA1836"/>
    <w:rsid w:val="00CA31E1"/>
    <w:rsid w:val="00CA31FB"/>
    <w:rsid w:val="00CA4AC3"/>
    <w:rsid w:val="00CA4C1A"/>
    <w:rsid w:val="00CA79EE"/>
    <w:rsid w:val="00CB16CF"/>
    <w:rsid w:val="00CB1E24"/>
    <w:rsid w:val="00CB5BBB"/>
    <w:rsid w:val="00CB6820"/>
    <w:rsid w:val="00CB73C9"/>
    <w:rsid w:val="00CC05DD"/>
    <w:rsid w:val="00CC1F10"/>
    <w:rsid w:val="00CC64AA"/>
    <w:rsid w:val="00CC6ACB"/>
    <w:rsid w:val="00CD08BB"/>
    <w:rsid w:val="00CD21E3"/>
    <w:rsid w:val="00CD3BF8"/>
    <w:rsid w:val="00CD4678"/>
    <w:rsid w:val="00CD74D1"/>
    <w:rsid w:val="00CE145E"/>
    <w:rsid w:val="00CE3E8F"/>
    <w:rsid w:val="00CE5007"/>
    <w:rsid w:val="00CE67DC"/>
    <w:rsid w:val="00CE6AD2"/>
    <w:rsid w:val="00CF06AE"/>
    <w:rsid w:val="00CF12C6"/>
    <w:rsid w:val="00CF361B"/>
    <w:rsid w:val="00CF437E"/>
    <w:rsid w:val="00D01326"/>
    <w:rsid w:val="00D015B7"/>
    <w:rsid w:val="00D01600"/>
    <w:rsid w:val="00D023E9"/>
    <w:rsid w:val="00D037C8"/>
    <w:rsid w:val="00D04BA8"/>
    <w:rsid w:val="00D078FA"/>
    <w:rsid w:val="00D10F8E"/>
    <w:rsid w:val="00D110BA"/>
    <w:rsid w:val="00D13D17"/>
    <w:rsid w:val="00D2312D"/>
    <w:rsid w:val="00D26AB3"/>
    <w:rsid w:val="00D306CF"/>
    <w:rsid w:val="00D32882"/>
    <w:rsid w:val="00D37F37"/>
    <w:rsid w:val="00D41244"/>
    <w:rsid w:val="00D42637"/>
    <w:rsid w:val="00D43C59"/>
    <w:rsid w:val="00D466AA"/>
    <w:rsid w:val="00D47935"/>
    <w:rsid w:val="00D50DDC"/>
    <w:rsid w:val="00D61C99"/>
    <w:rsid w:val="00D64973"/>
    <w:rsid w:val="00D66620"/>
    <w:rsid w:val="00D70541"/>
    <w:rsid w:val="00D73AF6"/>
    <w:rsid w:val="00D76B80"/>
    <w:rsid w:val="00D80FA6"/>
    <w:rsid w:val="00D81A6B"/>
    <w:rsid w:val="00D82CBB"/>
    <w:rsid w:val="00D855E7"/>
    <w:rsid w:val="00D93568"/>
    <w:rsid w:val="00D93DCC"/>
    <w:rsid w:val="00D9410E"/>
    <w:rsid w:val="00D95962"/>
    <w:rsid w:val="00D97ADC"/>
    <w:rsid w:val="00DA19AD"/>
    <w:rsid w:val="00DA1A94"/>
    <w:rsid w:val="00DA24B8"/>
    <w:rsid w:val="00DA3791"/>
    <w:rsid w:val="00DA3BE6"/>
    <w:rsid w:val="00DA3C7C"/>
    <w:rsid w:val="00DA4263"/>
    <w:rsid w:val="00DA7BFD"/>
    <w:rsid w:val="00DB0307"/>
    <w:rsid w:val="00DB03A4"/>
    <w:rsid w:val="00DB03EB"/>
    <w:rsid w:val="00DB09DB"/>
    <w:rsid w:val="00DB15FD"/>
    <w:rsid w:val="00DB26B9"/>
    <w:rsid w:val="00DB38B3"/>
    <w:rsid w:val="00DB3D00"/>
    <w:rsid w:val="00DB72F7"/>
    <w:rsid w:val="00DC23CA"/>
    <w:rsid w:val="00DC273F"/>
    <w:rsid w:val="00DC3A7B"/>
    <w:rsid w:val="00DC62B7"/>
    <w:rsid w:val="00DC62EE"/>
    <w:rsid w:val="00DD3083"/>
    <w:rsid w:val="00DD366A"/>
    <w:rsid w:val="00DD3AB1"/>
    <w:rsid w:val="00DE0457"/>
    <w:rsid w:val="00DE1196"/>
    <w:rsid w:val="00DE24AA"/>
    <w:rsid w:val="00DE3DAF"/>
    <w:rsid w:val="00DE4206"/>
    <w:rsid w:val="00DE47C9"/>
    <w:rsid w:val="00DE56AC"/>
    <w:rsid w:val="00DE71C8"/>
    <w:rsid w:val="00DE7C6E"/>
    <w:rsid w:val="00DF4213"/>
    <w:rsid w:val="00DF4A11"/>
    <w:rsid w:val="00DF668B"/>
    <w:rsid w:val="00DF7952"/>
    <w:rsid w:val="00E05F9A"/>
    <w:rsid w:val="00E06853"/>
    <w:rsid w:val="00E10CB3"/>
    <w:rsid w:val="00E171F6"/>
    <w:rsid w:val="00E22BD5"/>
    <w:rsid w:val="00E255E0"/>
    <w:rsid w:val="00E27CC9"/>
    <w:rsid w:val="00E32A5D"/>
    <w:rsid w:val="00E34155"/>
    <w:rsid w:val="00E35120"/>
    <w:rsid w:val="00E367FE"/>
    <w:rsid w:val="00E40DC7"/>
    <w:rsid w:val="00E42B4E"/>
    <w:rsid w:val="00E44993"/>
    <w:rsid w:val="00E44BFB"/>
    <w:rsid w:val="00E45E14"/>
    <w:rsid w:val="00E46981"/>
    <w:rsid w:val="00E517CB"/>
    <w:rsid w:val="00E5220D"/>
    <w:rsid w:val="00E53099"/>
    <w:rsid w:val="00E55965"/>
    <w:rsid w:val="00E60231"/>
    <w:rsid w:val="00E62A5B"/>
    <w:rsid w:val="00E65424"/>
    <w:rsid w:val="00E66640"/>
    <w:rsid w:val="00E74E25"/>
    <w:rsid w:val="00E75EA2"/>
    <w:rsid w:val="00E811FF"/>
    <w:rsid w:val="00E81B3C"/>
    <w:rsid w:val="00E81FF1"/>
    <w:rsid w:val="00E8298B"/>
    <w:rsid w:val="00E82CC0"/>
    <w:rsid w:val="00E82DD4"/>
    <w:rsid w:val="00E83944"/>
    <w:rsid w:val="00E84839"/>
    <w:rsid w:val="00E91D68"/>
    <w:rsid w:val="00E91E3A"/>
    <w:rsid w:val="00E92609"/>
    <w:rsid w:val="00E93471"/>
    <w:rsid w:val="00E94D2E"/>
    <w:rsid w:val="00E95A94"/>
    <w:rsid w:val="00E96583"/>
    <w:rsid w:val="00E976BA"/>
    <w:rsid w:val="00EA300F"/>
    <w:rsid w:val="00EA6010"/>
    <w:rsid w:val="00EB17B3"/>
    <w:rsid w:val="00EB4579"/>
    <w:rsid w:val="00EB51F9"/>
    <w:rsid w:val="00EB6769"/>
    <w:rsid w:val="00EB6EEF"/>
    <w:rsid w:val="00EC3261"/>
    <w:rsid w:val="00EC43B1"/>
    <w:rsid w:val="00EC6AF6"/>
    <w:rsid w:val="00EC6DA7"/>
    <w:rsid w:val="00ED293C"/>
    <w:rsid w:val="00ED369A"/>
    <w:rsid w:val="00ED6781"/>
    <w:rsid w:val="00EE2547"/>
    <w:rsid w:val="00EE2743"/>
    <w:rsid w:val="00EE3A00"/>
    <w:rsid w:val="00EE41EE"/>
    <w:rsid w:val="00EE5E50"/>
    <w:rsid w:val="00EE6966"/>
    <w:rsid w:val="00EF249C"/>
    <w:rsid w:val="00EF29C8"/>
    <w:rsid w:val="00EF48E9"/>
    <w:rsid w:val="00EF5DBD"/>
    <w:rsid w:val="00F012F5"/>
    <w:rsid w:val="00F01A7C"/>
    <w:rsid w:val="00F01B96"/>
    <w:rsid w:val="00F02A9F"/>
    <w:rsid w:val="00F02DC1"/>
    <w:rsid w:val="00F043CB"/>
    <w:rsid w:val="00F12FBF"/>
    <w:rsid w:val="00F130ED"/>
    <w:rsid w:val="00F1465C"/>
    <w:rsid w:val="00F2727A"/>
    <w:rsid w:val="00F27C57"/>
    <w:rsid w:val="00F31216"/>
    <w:rsid w:val="00F312ED"/>
    <w:rsid w:val="00F316CB"/>
    <w:rsid w:val="00F37019"/>
    <w:rsid w:val="00F37589"/>
    <w:rsid w:val="00F4242F"/>
    <w:rsid w:val="00F426E1"/>
    <w:rsid w:val="00F441A3"/>
    <w:rsid w:val="00F44452"/>
    <w:rsid w:val="00F45F67"/>
    <w:rsid w:val="00F47798"/>
    <w:rsid w:val="00F47A68"/>
    <w:rsid w:val="00F55771"/>
    <w:rsid w:val="00F55A44"/>
    <w:rsid w:val="00F56043"/>
    <w:rsid w:val="00F60E71"/>
    <w:rsid w:val="00F60F8A"/>
    <w:rsid w:val="00F62E26"/>
    <w:rsid w:val="00F64F29"/>
    <w:rsid w:val="00F710B0"/>
    <w:rsid w:val="00F74B1C"/>
    <w:rsid w:val="00F76CF6"/>
    <w:rsid w:val="00F827ED"/>
    <w:rsid w:val="00F83B5A"/>
    <w:rsid w:val="00F863A3"/>
    <w:rsid w:val="00F864DE"/>
    <w:rsid w:val="00F87159"/>
    <w:rsid w:val="00F87C74"/>
    <w:rsid w:val="00F91D03"/>
    <w:rsid w:val="00F94666"/>
    <w:rsid w:val="00F947DD"/>
    <w:rsid w:val="00FA2C09"/>
    <w:rsid w:val="00FA39FB"/>
    <w:rsid w:val="00FA57C1"/>
    <w:rsid w:val="00FB3458"/>
    <w:rsid w:val="00FB37D4"/>
    <w:rsid w:val="00FB45C1"/>
    <w:rsid w:val="00FB4EE3"/>
    <w:rsid w:val="00FC35E2"/>
    <w:rsid w:val="00FC3F97"/>
    <w:rsid w:val="00FC46A8"/>
    <w:rsid w:val="00FD542E"/>
    <w:rsid w:val="00FD59A9"/>
    <w:rsid w:val="00FD5AB5"/>
    <w:rsid w:val="00FD5FBB"/>
    <w:rsid w:val="00FE0B11"/>
    <w:rsid w:val="00FE0D43"/>
    <w:rsid w:val="00FE29BF"/>
    <w:rsid w:val="00FE6C7B"/>
    <w:rsid w:val="00FF06D2"/>
    <w:rsid w:val="00FF07C6"/>
    <w:rsid w:val="00FF12FD"/>
    <w:rsid w:val="00FF368E"/>
    <w:rsid w:val="00FF5220"/>
    <w:rsid w:val="00FF5652"/>
    <w:rsid w:val="00FF61C9"/>
    <w:rsid w:val="00FF6810"/>
    <w:rsid w:val="00FF7590"/>
    <w:rsid w:val="18935FC7"/>
    <w:rsid w:val="1DB65BB4"/>
    <w:rsid w:val="221CED7A"/>
    <w:rsid w:val="254A9DA0"/>
    <w:rsid w:val="2555983F"/>
    <w:rsid w:val="318B03D6"/>
    <w:rsid w:val="363BC24B"/>
    <w:rsid w:val="3C8070CE"/>
    <w:rsid w:val="4734333B"/>
    <w:rsid w:val="47B1F46D"/>
    <w:rsid w:val="4A05294B"/>
    <w:rsid w:val="4FB5594A"/>
    <w:rsid w:val="5639EF71"/>
    <w:rsid w:val="59F4EA77"/>
    <w:rsid w:val="7678B42E"/>
    <w:rsid w:val="78FE69D8"/>
    <w:rsid w:val="7B3C2753"/>
    <w:rsid w:val="7CC9AE29"/>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984693"/>
  <w15:docId w15:val="{D23014E5-493E-4FE6-B0FB-D8A74FC5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7D1"/>
    <w:pPr>
      <w:shd w:val="clear" w:color="auto" w:fill="FFFFFF"/>
      <w:spacing w:line="276" w:lineRule="auto"/>
      <w:jc w:val="both"/>
    </w:pPr>
    <w:rPr>
      <w:rFonts w:ascii="Arial" w:eastAsia="ヒラギノ角ゴ Pro W3" w:hAnsi="Arial"/>
      <w:color w:val="000000"/>
      <w:kern w:val="24"/>
      <w:sz w:val="22"/>
      <w:szCs w:val="24"/>
      <w:lang w:val="en-US" w:eastAsia="en-US"/>
    </w:rPr>
  </w:style>
  <w:style w:type="paragraph" w:styleId="Heading1">
    <w:name w:val="heading 1"/>
    <w:basedOn w:val="Normal"/>
    <w:next w:val="Normal"/>
    <w:link w:val="Heading1Char"/>
    <w:qFormat/>
    <w:locked/>
    <w:rsid w:val="00C906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9D67D1"/>
    <w:pPr>
      <w:shd w:val="clear" w:color="auto" w:fill="FFFFFF"/>
      <w:tabs>
        <w:tab w:val="center" w:pos="4513"/>
        <w:tab w:val="right" w:pos="9026"/>
      </w:tabs>
      <w:spacing w:line="276" w:lineRule="auto"/>
      <w:jc w:val="both"/>
    </w:pPr>
    <w:rPr>
      <w:rFonts w:ascii="Arial" w:eastAsia="ヒラギノ角ゴ Pro W3" w:hAnsi="Arial"/>
      <w:color w:val="000000"/>
      <w:kern w:val="24"/>
      <w:sz w:val="22"/>
      <w:lang w:val="en-US" w:eastAsia="zh-CN"/>
    </w:rPr>
  </w:style>
  <w:style w:type="paragraph" w:customStyle="1" w:styleId="Footer1">
    <w:name w:val="Footer1"/>
    <w:rsid w:val="009D67D1"/>
    <w:pPr>
      <w:shd w:val="clear" w:color="auto" w:fill="FFFFFF"/>
      <w:tabs>
        <w:tab w:val="center" w:pos="4513"/>
        <w:tab w:val="right" w:pos="9026"/>
      </w:tabs>
      <w:spacing w:line="276" w:lineRule="auto"/>
      <w:jc w:val="both"/>
    </w:pPr>
    <w:rPr>
      <w:rFonts w:ascii="Arial" w:eastAsia="ヒラギノ角ゴ Pro W3" w:hAnsi="Arial"/>
      <w:color w:val="000000"/>
      <w:kern w:val="24"/>
      <w:sz w:val="22"/>
      <w:lang w:val="en-US" w:eastAsia="zh-CN"/>
    </w:rPr>
  </w:style>
  <w:style w:type="paragraph" w:customStyle="1" w:styleId="PlainText1">
    <w:name w:val="Plain Text1"/>
    <w:autoRedefine/>
    <w:rsid w:val="00292F4A"/>
    <w:pPr>
      <w:tabs>
        <w:tab w:val="left" w:pos="0"/>
      </w:tabs>
      <w:spacing w:line="276" w:lineRule="auto"/>
    </w:pPr>
    <w:rPr>
      <w:rFonts w:ascii="Arial" w:eastAsia="ヒラギノ角ゴ Pro W3" w:hAnsi="Arial" w:cs="Arial"/>
      <w:b/>
      <w:bCs/>
      <w:color w:val="000000"/>
      <w:sz w:val="22"/>
      <w:szCs w:val="22"/>
      <w:lang w:eastAsia="zh-CN"/>
    </w:rPr>
  </w:style>
  <w:style w:type="paragraph" w:customStyle="1" w:styleId="Heading2AA">
    <w:name w:val="Heading 2 A A"/>
    <w:next w:val="BodyA"/>
    <w:rsid w:val="009D67D1"/>
    <w:pPr>
      <w:keepNext/>
      <w:outlineLvl w:val="1"/>
    </w:pPr>
    <w:rPr>
      <w:rFonts w:ascii="Helvetica" w:eastAsia="ヒラギノ角ゴ Pro W3" w:hAnsi="Helvetica"/>
      <w:b/>
      <w:color w:val="000000"/>
      <w:sz w:val="24"/>
      <w:lang w:val="en-US" w:eastAsia="zh-CN"/>
    </w:rPr>
  </w:style>
  <w:style w:type="paragraph" w:customStyle="1" w:styleId="BodyA">
    <w:name w:val="Body A"/>
    <w:rsid w:val="009D67D1"/>
    <w:rPr>
      <w:rFonts w:ascii="Helvetica" w:eastAsia="ヒラギノ角ゴ Pro W3" w:hAnsi="Helvetica"/>
      <w:color w:val="000000"/>
      <w:sz w:val="24"/>
      <w:lang w:val="en-US" w:eastAsia="zh-CN"/>
    </w:rPr>
  </w:style>
  <w:style w:type="paragraph" w:customStyle="1" w:styleId="FreeForm">
    <w:name w:val="Free Form"/>
    <w:rsid w:val="009D67D1"/>
    <w:rPr>
      <w:rFonts w:eastAsia="ヒラギノ角ゴ Pro W3"/>
      <w:color w:val="000000"/>
      <w:lang w:eastAsia="zh-CN"/>
    </w:rPr>
  </w:style>
  <w:style w:type="paragraph" w:customStyle="1" w:styleId="FreeFormA">
    <w:name w:val="Free Form A"/>
    <w:autoRedefine/>
    <w:rsid w:val="009D67D1"/>
    <w:rPr>
      <w:rFonts w:eastAsia="ヒラギノ角ゴ Pro W3"/>
      <w:color w:val="000000"/>
      <w:lang w:eastAsia="zh-CN"/>
    </w:rPr>
  </w:style>
  <w:style w:type="paragraph" w:customStyle="1" w:styleId="FreeFormC">
    <w:name w:val="Free Form C"/>
    <w:rsid w:val="009D67D1"/>
    <w:rPr>
      <w:rFonts w:eastAsia="ヒラギノ角ゴ Pro W3"/>
      <w:color w:val="000000"/>
      <w:lang w:eastAsia="zh-CN"/>
    </w:rPr>
  </w:style>
  <w:style w:type="paragraph" w:customStyle="1" w:styleId="FreeFormAA">
    <w:name w:val="Free Form A A"/>
    <w:rsid w:val="009D67D1"/>
    <w:rPr>
      <w:rFonts w:eastAsia="ヒラギノ角ゴ Pro W3"/>
      <w:color w:val="000000"/>
      <w:lang w:eastAsia="zh-CN"/>
    </w:rPr>
  </w:style>
  <w:style w:type="paragraph" w:customStyle="1" w:styleId="FreeFormAAA">
    <w:name w:val="Free Form A A A"/>
    <w:rsid w:val="009D67D1"/>
    <w:rPr>
      <w:rFonts w:eastAsia="ヒラギノ角ゴ Pro W3"/>
      <w:color w:val="000000"/>
      <w:lang w:eastAsia="zh-CN"/>
    </w:rPr>
  </w:style>
  <w:style w:type="paragraph" w:customStyle="1" w:styleId="Heading2AB">
    <w:name w:val="Heading 2 A B"/>
    <w:next w:val="BodyB"/>
    <w:rsid w:val="009D67D1"/>
    <w:pPr>
      <w:keepNext/>
      <w:outlineLvl w:val="1"/>
    </w:pPr>
    <w:rPr>
      <w:rFonts w:ascii="Helvetica" w:eastAsia="ヒラギノ角ゴ Pro W3" w:hAnsi="Helvetica"/>
      <w:b/>
      <w:color w:val="000000"/>
      <w:sz w:val="24"/>
      <w:lang w:val="en-US" w:eastAsia="zh-CN"/>
    </w:rPr>
  </w:style>
  <w:style w:type="paragraph" w:customStyle="1" w:styleId="BodyB">
    <w:name w:val="Body B"/>
    <w:autoRedefine/>
    <w:rsid w:val="009D67D1"/>
    <w:rPr>
      <w:rFonts w:ascii="Helvetica" w:eastAsia="ヒラギノ角ゴ Pro W3" w:hAnsi="Helvetica"/>
      <w:color w:val="000000"/>
      <w:sz w:val="24"/>
      <w:lang w:val="en-US" w:eastAsia="zh-CN"/>
    </w:rPr>
  </w:style>
  <w:style w:type="paragraph" w:customStyle="1" w:styleId="TableGrid2">
    <w:name w:val="Table Grid2"/>
    <w:rsid w:val="009D67D1"/>
    <w:pPr>
      <w:spacing w:line="264" w:lineRule="auto"/>
    </w:pPr>
    <w:rPr>
      <w:rFonts w:ascii="Lucida Grande" w:eastAsia="ヒラギノ角ゴ Pro W3" w:hAnsi="Lucida Grande"/>
      <w:color w:val="000000"/>
      <w:lang w:eastAsia="zh-CN"/>
    </w:rPr>
  </w:style>
  <w:style w:type="paragraph" w:customStyle="1" w:styleId="Body">
    <w:name w:val="Body"/>
    <w:autoRedefine/>
    <w:rsid w:val="009D67D1"/>
    <w:rPr>
      <w:rFonts w:ascii="Helvetica" w:eastAsia="ヒラギノ角ゴ Pro W3" w:hAnsi="Helvetica"/>
      <w:color w:val="000000"/>
      <w:sz w:val="24"/>
      <w:lang w:val="en-US" w:eastAsia="zh-CN"/>
    </w:rPr>
  </w:style>
  <w:style w:type="paragraph" w:customStyle="1" w:styleId="BodyText1">
    <w:name w:val="Body Text1"/>
    <w:rsid w:val="009D67D1"/>
    <w:pPr>
      <w:spacing w:after="120"/>
    </w:pPr>
    <w:rPr>
      <w:rFonts w:eastAsia="ヒラギノ角ゴ Pro W3"/>
      <w:color w:val="000000"/>
      <w:lang w:val="en-US" w:eastAsia="zh-CN"/>
    </w:rPr>
  </w:style>
  <w:style w:type="paragraph" w:customStyle="1" w:styleId="TableGrid1">
    <w:name w:val="Table Grid1"/>
    <w:rsid w:val="009D67D1"/>
    <w:rPr>
      <w:rFonts w:eastAsia="ヒラギノ角ゴ Pro W3"/>
      <w:color w:val="000000"/>
      <w:lang w:eastAsia="zh-CN"/>
    </w:rPr>
  </w:style>
  <w:style w:type="paragraph" w:customStyle="1" w:styleId="CommentText1">
    <w:name w:val="Comment Text1"/>
    <w:rsid w:val="009D67D1"/>
    <w:pPr>
      <w:shd w:val="clear" w:color="auto" w:fill="FFFFFF"/>
      <w:spacing w:line="276" w:lineRule="auto"/>
      <w:jc w:val="both"/>
    </w:pPr>
    <w:rPr>
      <w:rFonts w:ascii="Arial" w:eastAsia="ヒラギノ角ゴ Pro W3" w:hAnsi="Arial"/>
      <w:color w:val="000000"/>
      <w:kern w:val="24"/>
      <w:lang w:val="en-US" w:eastAsia="zh-CN"/>
    </w:rPr>
  </w:style>
  <w:style w:type="paragraph" w:customStyle="1" w:styleId="FreeFormAAAA">
    <w:name w:val="Free Form A A A A"/>
    <w:autoRedefine/>
    <w:rsid w:val="00A01AD8"/>
    <w:pPr>
      <w:spacing w:line="276" w:lineRule="auto"/>
      <w:jc w:val="both"/>
    </w:pPr>
    <w:rPr>
      <w:rFonts w:eastAsia="ヒラギノ角ゴ Pro W3"/>
      <w:color w:val="000000"/>
      <w:lang w:eastAsia="zh-CN"/>
    </w:rPr>
  </w:style>
  <w:style w:type="paragraph" w:customStyle="1" w:styleId="FootnoteTextA">
    <w:name w:val="Footnote Text A"/>
    <w:rsid w:val="009D67D1"/>
    <w:rPr>
      <w:rFonts w:ascii="Helvetica" w:eastAsia="ヒラギノ角ゴ Pro W3" w:hAnsi="Helvetica"/>
      <w:color w:val="000000"/>
      <w:lang w:val="en-US" w:eastAsia="zh-CN"/>
    </w:rPr>
  </w:style>
  <w:style w:type="paragraph" w:customStyle="1" w:styleId="BodyBA">
    <w:name w:val="Body B A"/>
    <w:autoRedefine/>
    <w:rsid w:val="00F12FBF"/>
    <w:pPr>
      <w:spacing w:line="276" w:lineRule="auto"/>
    </w:pPr>
    <w:rPr>
      <w:rFonts w:ascii="Arial" w:eastAsia="ヒラギノ角ゴ Pro W3" w:hAnsi="Arial" w:cs="Arial"/>
      <w:b/>
      <w:bCs/>
      <w:color w:val="000000"/>
      <w:sz w:val="22"/>
      <w:szCs w:val="22"/>
      <w:lang w:val="en-US" w:eastAsia="zh-CN"/>
    </w:rPr>
  </w:style>
  <w:style w:type="paragraph" w:customStyle="1" w:styleId="Tableheadingwhite">
    <w:name w:val="Table heading white"/>
    <w:rsid w:val="009D67D1"/>
    <w:pPr>
      <w:keepNext/>
      <w:keepLines/>
      <w:spacing w:after="40"/>
      <w:outlineLvl w:val="3"/>
    </w:pPr>
    <w:rPr>
      <w:rFonts w:ascii="Georgia Italic" w:eastAsia="ヒラギノ角ゴ Pro W3" w:hAnsi="Georgia Italic"/>
      <w:color w:val="FAFFF8"/>
      <w:sz w:val="24"/>
      <w:lang w:eastAsia="zh-CN"/>
    </w:rPr>
  </w:style>
  <w:style w:type="paragraph" w:customStyle="1" w:styleId="TableText">
    <w:name w:val="Table Text"/>
    <w:autoRedefine/>
    <w:rsid w:val="009D67D1"/>
    <w:pPr>
      <w:spacing w:line="264" w:lineRule="auto"/>
    </w:pPr>
    <w:rPr>
      <w:rFonts w:ascii="Arial" w:eastAsia="ヒラギノ角ゴ Pro W3" w:hAnsi="Arial"/>
      <w:color w:val="000000"/>
      <w:sz w:val="16"/>
      <w:lang w:val="en-US" w:eastAsia="zh-CN"/>
    </w:rPr>
  </w:style>
  <w:style w:type="paragraph" w:customStyle="1" w:styleId="TableBullet">
    <w:name w:val="Table Bullet"/>
    <w:rsid w:val="009D67D1"/>
    <w:pPr>
      <w:tabs>
        <w:tab w:val="left" w:pos="926"/>
      </w:tabs>
    </w:pPr>
    <w:rPr>
      <w:rFonts w:ascii="Arial" w:eastAsia="ヒラギノ角ゴ Pro W3" w:hAnsi="Arial"/>
      <w:color w:val="000000"/>
      <w:sz w:val="16"/>
      <w:lang w:val="en-US" w:eastAsia="zh-CN"/>
    </w:rPr>
  </w:style>
  <w:style w:type="paragraph" w:customStyle="1" w:styleId="Tableheadingblack">
    <w:name w:val="Table heading black"/>
    <w:rsid w:val="009D67D1"/>
    <w:pPr>
      <w:keepNext/>
      <w:keepLines/>
      <w:spacing w:after="40"/>
      <w:outlineLvl w:val="3"/>
    </w:pPr>
    <w:rPr>
      <w:rFonts w:ascii="Georgia Italic" w:eastAsia="ヒラギノ角ゴ Pro W3" w:hAnsi="Georgia Italic"/>
      <w:color w:val="000000"/>
      <w:sz w:val="24"/>
      <w:lang w:eastAsia="zh-CN"/>
    </w:rPr>
  </w:style>
  <w:style w:type="paragraph" w:customStyle="1" w:styleId="BodyText2">
    <w:name w:val="Body Text2"/>
    <w:autoRedefine/>
    <w:rsid w:val="009D67D1"/>
    <w:pPr>
      <w:spacing w:after="240" w:line="240" w:lineRule="atLeast"/>
    </w:pPr>
    <w:rPr>
      <w:rFonts w:ascii="Georgia" w:eastAsia="ヒラギノ角ゴ Pro W3" w:hAnsi="Georgia"/>
      <w:color w:val="000000"/>
      <w:lang w:eastAsia="zh-CN"/>
    </w:rPr>
  </w:style>
  <w:style w:type="paragraph" w:customStyle="1" w:styleId="BodySingle">
    <w:name w:val="Body Single"/>
    <w:autoRedefine/>
    <w:rsid w:val="009D67D1"/>
    <w:pPr>
      <w:spacing w:line="240" w:lineRule="atLeast"/>
    </w:pPr>
    <w:rPr>
      <w:rFonts w:ascii="Georgia" w:eastAsia="ヒラギノ角ゴ Pro W3" w:hAnsi="Georgia"/>
      <w:color w:val="000000"/>
      <w:lang w:eastAsia="zh-CN"/>
    </w:rPr>
  </w:style>
  <w:style w:type="paragraph" w:customStyle="1" w:styleId="Circles">
    <w:name w:val="Circles"/>
    <w:rsid w:val="009D67D1"/>
    <w:rPr>
      <w:rFonts w:ascii="Georgia" w:eastAsia="ヒラギノ角ゴ Pro W3" w:hAnsi="Georgia"/>
      <w:color w:val="000000"/>
      <w:sz w:val="56"/>
      <w:lang w:eastAsia="zh-CN"/>
    </w:rPr>
  </w:style>
  <w:style w:type="paragraph" w:styleId="BalloonText">
    <w:name w:val="Balloon Text"/>
    <w:basedOn w:val="Normal"/>
    <w:link w:val="BalloonTextChar"/>
    <w:locked/>
    <w:rsid w:val="00950F8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0F8F"/>
    <w:rPr>
      <w:rFonts w:ascii="Tahoma" w:eastAsia="ヒラギノ角ゴ Pro W3" w:hAnsi="Tahoma" w:cs="Tahoma"/>
      <w:color w:val="000000"/>
      <w:kern w:val="24"/>
      <w:sz w:val="16"/>
      <w:szCs w:val="16"/>
      <w:shd w:val="clear" w:color="auto" w:fill="FFFFFF"/>
      <w:lang w:val="en-US" w:eastAsia="en-US"/>
    </w:rPr>
  </w:style>
  <w:style w:type="paragraph" w:styleId="CommentText">
    <w:name w:val="annotation text"/>
    <w:basedOn w:val="Normal"/>
    <w:link w:val="CommentTextChar"/>
    <w:locked/>
    <w:rsid w:val="009D67D1"/>
    <w:rPr>
      <w:sz w:val="20"/>
      <w:szCs w:val="20"/>
    </w:rPr>
  </w:style>
  <w:style w:type="character" w:customStyle="1" w:styleId="CommentTextChar">
    <w:name w:val="Comment Text Char"/>
    <w:basedOn w:val="DefaultParagraphFont"/>
    <w:link w:val="CommentText"/>
    <w:rsid w:val="009D67D1"/>
    <w:rPr>
      <w:rFonts w:ascii="Arial" w:eastAsia="ヒラギノ角ゴ Pro W3" w:hAnsi="Arial"/>
      <w:color w:val="000000"/>
      <w:kern w:val="24"/>
      <w:shd w:val="clear" w:color="auto" w:fill="FFFFFF"/>
      <w:lang w:val="en-US" w:eastAsia="en-US"/>
    </w:rPr>
  </w:style>
  <w:style w:type="character" w:styleId="CommentReference">
    <w:name w:val="annotation reference"/>
    <w:basedOn w:val="DefaultParagraphFont"/>
    <w:locked/>
    <w:rsid w:val="009D67D1"/>
    <w:rPr>
      <w:sz w:val="16"/>
      <w:szCs w:val="16"/>
    </w:rPr>
  </w:style>
  <w:style w:type="paragraph" w:styleId="Header">
    <w:name w:val="header"/>
    <w:basedOn w:val="Normal"/>
    <w:link w:val="HeaderChar"/>
    <w:locked/>
    <w:rsid w:val="003E1C6B"/>
    <w:pPr>
      <w:tabs>
        <w:tab w:val="center" w:pos="4513"/>
        <w:tab w:val="right" w:pos="9026"/>
      </w:tabs>
    </w:pPr>
  </w:style>
  <w:style w:type="character" w:customStyle="1" w:styleId="HeaderChar">
    <w:name w:val="Header Char"/>
    <w:basedOn w:val="DefaultParagraphFont"/>
    <w:link w:val="Header"/>
    <w:rsid w:val="003E1C6B"/>
    <w:rPr>
      <w:rFonts w:ascii="Arial" w:eastAsia="ヒラギノ角ゴ Pro W3" w:hAnsi="Arial"/>
      <w:color w:val="000000"/>
      <w:kern w:val="24"/>
      <w:sz w:val="22"/>
      <w:szCs w:val="24"/>
      <w:shd w:val="clear" w:color="auto" w:fill="FFFFFF"/>
      <w:lang w:val="en-US" w:eastAsia="en-US"/>
    </w:rPr>
  </w:style>
  <w:style w:type="paragraph" w:styleId="Footer">
    <w:name w:val="footer"/>
    <w:basedOn w:val="Normal"/>
    <w:link w:val="FooterChar"/>
    <w:locked/>
    <w:rsid w:val="003E1C6B"/>
    <w:pPr>
      <w:tabs>
        <w:tab w:val="center" w:pos="4513"/>
        <w:tab w:val="right" w:pos="9026"/>
      </w:tabs>
    </w:pPr>
  </w:style>
  <w:style w:type="character" w:customStyle="1" w:styleId="FooterChar">
    <w:name w:val="Footer Char"/>
    <w:basedOn w:val="DefaultParagraphFont"/>
    <w:link w:val="Footer"/>
    <w:rsid w:val="003E1C6B"/>
    <w:rPr>
      <w:rFonts w:ascii="Arial" w:eastAsia="ヒラギノ角ゴ Pro W3" w:hAnsi="Arial"/>
      <w:color w:val="000000"/>
      <w:kern w:val="24"/>
      <w:sz w:val="22"/>
      <w:szCs w:val="24"/>
      <w:shd w:val="clear" w:color="auto" w:fill="FFFFFF"/>
      <w:lang w:val="en-US" w:eastAsia="en-US"/>
    </w:rPr>
  </w:style>
  <w:style w:type="paragraph" w:customStyle="1" w:styleId="Default">
    <w:name w:val="Default"/>
    <w:rsid w:val="00AA4B1E"/>
    <w:pPr>
      <w:autoSpaceDE w:val="0"/>
      <w:autoSpaceDN w:val="0"/>
      <w:adjustRightInd w:val="0"/>
    </w:pPr>
    <w:rPr>
      <w:rFonts w:ascii="Georgia" w:hAnsi="Georgia" w:cs="Georgia"/>
      <w:color w:val="000000"/>
      <w:sz w:val="24"/>
      <w:szCs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CB73C9"/>
    <w:pPr>
      <w:ind w:left="720"/>
      <w:contextualSpacing/>
    </w:pPr>
  </w:style>
  <w:style w:type="paragraph" w:styleId="CommentSubject">
    <w:name w:val="annotation subject"/>
    <w:basedOn w:val="CommentText"/>
    <w:next w:val="CommentText"/>
    <w:link w:val="CommentSubjectChar"/>
    <w:locked/>
    <w:rsid w:val="00DF4A11"/>
    <w:pPr>
      <w:spacing w:line="240" w:lineRule="auto"/>
    </w:pPr>
    <w:rPr>
      <w:b/>
      <w:bCs/>
    </w:rPr>
  </w:style>
  <w:style w:type="character" w:customStyle="1" w:styleId="CommentSubjectChar">
    <w:name w:val="Comment Subject Char"/>
    <w:basedOn w:val="CommentTextChar"/>
    <w:link w:val="CommentSubject"/>
    <w:rsid w:val="00DF4A11"/>
    <w:rPr>
      <w:rFonts w:ascii="Arial" w:eastAsia="ヒラギノ角ゴ Pro W3" w:hAnsi="Arial"/>
      <w:b/>
      <w:bCs/>
      <w:color w:val="000000"/>
      <w:kern w:val="24"/>
      <w:shd w:val="clear" w:color="auto" w:fill="FFFFFF"/>
      <w:lang w:val="en-US" w:eastAsia="en-US"/>
    </w:rPr>
  </w:style>
  <w:style w:type="table" w:styleId="TableGrid">
    <w:name w:val="Table Grid"/>
    <w:basedOn w:val="TableNormal"/>
    <w:uiPriority w:val="99"/>
    <w:locked/>
    <w:rsid w:val="003F2E4D"/>
    <w:rPr>
      <w:rFonts w:ascii="Arial" w:eastAsia="SimSun" w:hAnsi="Arial" w:cs="Arial"/>
      <w:bCs/>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906B7"/>
    <w:rPr>
      <w:rFonts w:asciiTheme="majorHAnsi" w:eastAsiaTheme="majorEastAsia" w:hAnsiTheme="majorHAnsi" w:cstheme="majorBidi"/>
      <w:color w:val="365F91" w:themeColor="accent1" w:themeShade="BF"/>
      <w:kern w:val="24"/>
      <w:sz w:val="32"/>
      <w:szCs w:val="32"/>
      <w:shd w:val="clear" w:color="auto" w:fill="FFFFFF"/>
      <w:lang w:val="en-US" w:eastAsia="en-US"/>
    </w:rPr>
  </w:style>
  <w:style w:type="paragraph" w:styleId="FootnoteText">
    <w:name w:val="footnote text"/>
    <w:basedOn w:val="Normal"/>
    <w:link w:val="FootnoteTextChar"/>
    <w:semiHidden/>
    <w:unhideWhenUsed/>
    <w:locked/>
    <w:rsid w:val="006C4E4D"/>
    <w:pPr>
      <w:spacing w:line="240" w:lineRule="auto"/>
    </w:pPr>
    <w:rPr>
      <w:sz w:val="20"/>
      <w:szCs w:val="20"/>
    </w:rPr>
  </w:style>
  <w:style w:type="character" w:customStyle="1" w:styleId="FootnoteTextChar">
    <w:name w:val="Footnote Text Char"/>
    <w:basedOn w:val="DefaultParagraphFont"/>
    <w:link w:val="FootnoteText"/>
    <w:semiHidden/>
    <w:rsid w:val="006C4E4D"/>
    <w:rPr>
      <w:rFonts w:ascii="Arial" w:eastAsia="ヒラギノ角ゴ Pro W3" w:hAnsi="Arial"/>
      <w:color w:val="000000"/>
      <w:kern w:val="24"/>
      <w:shd w:val="clear" w:color="auto" w:fill="FFFFFF"/>
      <w:lang w:val="en-US" w:eastAsia="en-US"/>
    </w:rPr>
  </w:style>
  <w:style w:type="character" w:styleId="FootnoteReference">
    <w:name w:val="footnote reference"/>
    <w:basedOn w:val="DefaultParagraphFont"/>
    <w:semiHidden/>
    <w:unhideWhenUsed/>
    <w:locked/>
    <w:rsid w:val="006C4E4D"/>
    <w:rPr>
      <w:vertAlign w:val="superscript"/>
    </w:rPr>
  </w:style>
  <w:style w:type="paragraph" w:styleId="BodyText20">
    <w:name w:val="Body Text 2"/>
    <w:basedOn w:val="Normal"/>
    <w:link w:val="BodyText2Char"/>
    <w:locked/>
    <w:rsid w:val="00C37B5F"/>
    <w:pPr>
      <w:shd w:val="clear" w:color="auto" w:fill="auto"/>
      <w:spacing w:after="120" w:line="480" w:lineRule="auto"/>
      <w:jc w:val="left"/>
    </w:pPr>
    <w:rPr>
      <w:rFonts w:ascii="Times New Roman" w:eastAsia="Times New Roman" w:hAnsi="Times New Roman"/>
      <w:color w:val="auto"/>
      <w:kern w:val="0"/>
      <w:sz w:val="24"/>
      <w:lang w:val="en-GB" w:eastAsia="en-GB"/>
    </w:rPr>
  </w:style>
  <w:style w:type="character" w:customStyle="1" w:styleId="BodyText2Char">
    <w:name w:val="Body Text 2 Char"/>
    <w:basedOn w:val="DefaultParagraphFont"/>
    <w:link w:val="BodyText20"/>
    <w:rsid w:val="00C37B5F"/>
    <w:rPr>
      <w:sz w:val="24"/>
      <w:szCs w:val="24"/>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9238FB"/>
    <w:rPr>
      <w:rFonts w:ascii="Arial" w:eastAsia="ヒラギノ角ゴ Pro W3" w:hAnsi="Arial"/>
      <w:color w:val="000000"/>
      <w:kern w:val="24"/>
      <w:sz w:val="22"/>
      <w:szCs w:val="24"/>
      <w:shd w:val="clear" w:color="auto" w:fill="FFFFFF"/>
      <w:lang w:val="en-US" w:eastAsia="en-US"/>
    </w:rPr>
  </w:style>
  <w:style w:type="character" w:styleId="Emphasis">
    <w:name w:val="Emphasis"/>
    <w:basedOn w:val="DefaultParagraphFont"/>
    <w:uiPriority w:val="20"/>
    <w:qFormat/>
    <w:locked/>
    <w:rsid w:val="008E77D6"/>
    <w:rPr>
      <w:i/>
      <w:iCs/>
    </w:rPr>
  </w:style>
  <w:style w:type="character" w:customStyle="1" w:styleId="apple-converted-space">
    <w:name w:val="apple-converted-space"/>
    <w:basedOn w:val="DefaultParagraphFont"/>
    <w:rsid w:val="008E77D6"/>
  </w:style>
  <w:style w:type="paragraph" w:styleId="DocumentMap">
    <w:name w:val="Document Map"/>
    <w:basedOn w:val="Normal"/>
    <w:link w:val="DocumentMapChar"/>
    <w:semiHidden/>
    <w:unhideWhenUsed/>
    <w:locked/>
    <w:rsid w:val="008E1474"/>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semiHidden/>
    <w:rsid w:val="008E1474"/>
    <w:rPr>
      <w:rFonts w:ascii="Lucida Grande" w:eastAsia="ヒラギノ角ゴ Pro W3" w:hAnsi="Lucida Grande" w:cs="Lucida Grande"/>
      <w:color w:val="000000"/>
      <w:kern w:val="24"/>
      <w:sz w:val="24"/>
      <w:szCs w:val="24"/>
      <w:shd w:val="clear" w:color="auto" w:fill="FFFFFF"/>
      <w:lang w:val="en-US" w:eastAsia="en-US"/>
    </w:rPr>
  </w:style>
  <w:style w:type="character" w:customStyle="1" w:styleId="il">
    <w:name w:val="il"/>
    <w:basedOn w:val="DefaultParagraphFont"/>
    <w:rsid w:val="003A6377"/>
  </w:style>
  <w:style w:type="paragraph" w:styleId="ListBullet">
    <w:name w:val="List Bullet"/>
    <w:uiPriority w:val="1"/>
    <w:unhideWhenUsed/>
    <w:locked/>
    <w:rsid w:val="00B521DB"/>
    <w:pPr>
      <w:numPr>
        <w:numId w:val="7"/>
      </w:numPr>
      <w:spacing w:after="120" w:line="280" w:lineRule="atLeast"/>
      <w:ind w:left="697" w:hanging="357"/>
    </w:pPr>
    <w:rPr>
      <w:rFonts w:ascii="Arial" w:eastAsia="Calibri" w:hAnsi="Arial"/>
      <w:sz w:val="22"/>
      <w:szCs w:val="22"/>
      <w:lang w:eastAsia="en-US"/>
    </w:rPr>
  </w:style>
  <w:style w:type="character" w:customStyle="1" w:styleId="BulletlistChar">
    <w:name w:val="Bullet list Char"/>
    <w:basedOn w:val="DefaultParagraphFont"/>
    <w:link w:val="Bulletlist"/>
    <w:uiPriority w:val="99"/>
    <w:locked/>
    <w:rsid w:val="00B521DB"/>
    <w:rPr>
      <w:sz w:val="22"/>
      <w:szCs w:val="22"/>
      <w:lang w:eastAsia="en-US"/>
    </w:rPr>
  </w:style>
  <w:style w:type="paragraph" w:customStyle="1" w:styleId="Bulletlist">
    <w:name w:val="Bullet list"/>
    <w:basedOn w:val="ListBullet"/>
    <w:link w:val="BulletlistChar"/>
    <w:uiPriority w:val="99"/>
    <w:qFormat/>
    <w:rsid w:val="00B521DB"/>
    <w:pPr>
      <w:ind w:left="851" w:hanging="425"/>
    </w:pPr>
    <w:rPr>
      <w:rFonts w:ascii="Times New Roman" w:eastAsia="Times New Roman" w:hAnsi="Times New Roman"/>
    </w:rPr>
  </w:style>
  <w:style w:type="paragraph" w:styleId="Revision">
    <w:name w:val="Revision"/>
    <w:hidden/>
    <w:uiPriority w:val="99"/>
    <w:semiHidden/>
    <w:rsid w:val="00B24EFB"/>
    <w:rPr>
      <w:rFonts w:ascii="Arial" w:eastAsia="ヒラギノ角ゴ Pro W3" w:hAnsi="Arial"/>
      <w:color w:val="000000"/>
      <w:kern w:val="24"/>
      <w:sz w:val="22"/>
      <w:szCs w:val="24"/>
      <w:lang w:val="en-US" w:eastAsia="en-US"/>
    </w:rPr>
  </w:style>
  <w:style w:type="character" w:customStyle="1" w:styleId="footnote-ref">
    <w:name w:val="footnote-ref"/>
    <w:basedOn w:val="DefaultParagraphFont"/>
    <w:rsid w:val="007A3A13"/>
  </w:style>
  <w:style w:type="character" w:styleId="Hyperlink">
    <w:name w:val="Hyperlink"/>
    <w:basedOn w:val="DefaultParagraphFont"/>
    <w:uiPriority w:val="99"/>
    <w:semiHidden/>
    <w:unhideWhenUsed/>
    <w:locked/>
    <w:rsid w:val="007A3A13"/>
    <w:rPr>
      <w:color w:val="0000FF"/>
      <w:u w:val="single"/>
    </w:rPr>
  </w:style>
  <w:style w:type="paragraph" w:styleId="NormalWeb">
    <w:name w:val="Normal (Web)"/>
    <w:basedOn w:val="Normal"/>
    <w:uiPriority w:val="99"/>
    <w:unhideWhenUsed/>
    <w:locked/>
    <w:rsid w:val="00577229"/>
    <w:pPr>
      <w:shd w:val="clear" w:color="auto" w:fill="auto"/>
      <w:spacing w:before="100" w:beforeAutospacing="1" w:after="100" w:afterAutospacing="1" w:line="240" w:lineRule="auto"/>
      <w:jc w:val="left"/>
    </w:pPr>
    <w:rPr>
      <w:rFonts w:ascii="Times New Roman" w:eastAsia="Times New Roman" w:hAnsi="Times New Roman"/>
      <w:color w:val="auto"/>
      <w:kern w:val="0"/>
      <w:sz w:val="24"/>
      <w:lang w:val="en-GB" w:eastAsia="en-GB"/>
    </w:rPr>
  </w:style>
  <w:style w:type="paragraph" w:styleId="BodyText">
    <w:name w:val="Body Text"/>
    <w:basedOn w:val="Normal"/>
    <w:link w:val="BodyTextChar"/>
    <w:semiHidden/>
    <w:unhideWhenUsed/>
    <w:locked/>
    <w:rsid w:val="00752DBB"/>
    <w:pPr>
      <w:spacing w:after="120"/>
    </w:pPr>
  </w:style>
  <w:style w:type="character" w:customStyle="1" w:styleId="BodyTextChar">
    <w:name w:val="Body Text Char"/>
    <w:basedOn w:val="DefaultParagraphFont"/>
    <w:link w:val="BodyText"/>
    <w:semiHidden/>
    <w:rsid w:val="00752DBB"/>
    <w:rPr>
      <w:rFonts w:ascii="Arial" w:eastAsia="ヒラギノ角ゴ Pro W3" w:hAnsi="Arial"/>
      <w:color w:val="000000"/>
      <w:kern w:val="24"/>
      <w:sz w:val="22"/>
      <w:szCs w:val="24"/>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6867">
      <w:bodyDiv w:val="1"/>
      <w:marLeft w:val="0"/>
      <w:marRight w:val="0"/>
      <w:marTop w:val="0"/>
      <w:marBottom w:val="0"/>
      <w:divBdr>
        <w:top w:val="none" w:sz="0" w:space="0" w:color="auto"/>
        <w:left w:val="none" w:sz="0" w:space="0" w:color="auto"/>
        <w:bottom w:val="none" w:sz="0" w:space="0" w:color="auto"/>
        <w:right w:val="none" w:sz="0" w:space="0" w:color="auto"/>
      </w:divBdr>
    </w:div>
    <w:div w:id="307980549">
      <w:bodyDiv w:val="1"/>
      <w:marLeft w:val="0"/>
      <w:marRight w:val="0"/>
      <w:marTop w:val="0"/>
      <w:marBottom w:val="0"/>
      <w:divBdr>
        <w:top w:val="none" w:sz="0" w:space="0" w:color="auto"/>
        <w:left w:val="none" w:sz="0" w:space="0" w:color="auto"/>
        <w:bottom w:val="none" w:sz="0" w:space="0" w:color="auto"/>
        <w:right w:val="none" w:sz="0" w:space="0" w:color="auto"/>
      </w:divBdr>
    </w:div>
    <w:div w:id="371852050">
      <w:bodyDiv w:val="1"/>
      <w:marLeft w:val="0"/>
      <w:marRight w:val="0"/>
      <w:marTop w:val="0"/>
      <w:marBottom w:val="0"/>
      <w:divBdr>
        <w:top w:val="none" w:sz="0" w:space="0" w:color="auto"/>
        <w:left w:val="none" w:sz="0" w:space="0" w:color="auto"/>
        <w:bottom w:val="none" w:sz="0" w:space="0" w:color="auto"/>
        <w:right w:val="none" w:sz="0" w:space="0" w:color="auto"/>
      </w:divBdr>
    </w:div>
    <w:div w:id="516895034">
      <w:bodyDiv w:val="1"/>
      <w:marLeft w:val="0"/>
      <w:marRight w:val="0"/>
      <w:marTop w:val="0"/>
      <w:marBottom w:val="0"/>
      <w:divBdr>
        <w:top w:val="none" w:sz="0" w:space="0" w:color="auto"/>
        <w:left w:val="none" w:sz="0" w:space="0" w:color="auto"/>
        <w:bottom w:val="none" w:sz="0" w:space="0" w:color="auto"/>
        <w:right w:val="none" w:sz="0" w:space="0" w:color="auto"/>
      </w:divBdr>
    </w:div>
    <w:div w:id="626550580">
      <w:bodyDiv w:val="1"/>
      <w:marLeft w:val="0"/>
      <w:marRight w:val="0"/>
      <w:marTop w:val="0"/>
      <w:marBottom w:val="0"/>
      <w:divBdr>
        <w:top w:val="none" w:sz="0" w:space="0" w:color="auto"/>
        <w:left w:val="none" w:sz="0" w:space="0" w:color="auto"/>
        <w:bottom w:val="none" w:sz="0" w:space="0" w:color="auto"/>
        <w:right w:val="none" w:sz="0" w:space="0" w:color="auto"/>
      </w:divBdr>
    </w:div>
    <w:div w:id="661784766">
      <w:bodyDiv w:val="1"/>
      <w:marLeft w:val="0"/>
      <w:marRight w:val="0"/>
      <w:marTop w:val="0"/>
      <w:marBottom w:val="0"/>
      <w:divBdr>
        <w:top w:val="none" w:sz="0" w:space="0" w:color="auto"/>
        <w:left w:val="none" w:sz="0" w:space="0" w:color="auto"/>
        <w:bottom w:val="none" w:sz="0" w:space="0" w:color="auto"/>
        <w:right w:val="none" w:sz="0" w:space="0" w:color="auto"/>
      </w:divBdr>
    </w:div>
    <w:div w:id="694886277">
      <w:bodyDiv w:val="1"/>
      <w:marLeft w:val="0"/>
      <w:marRight w:val="0"/>
      <w:marTop w:val="0"/>
      <w:marBottom w:val="0"/>
      <w:divBdr>
        <w:top w:val="none" w:sz="0" w:space="0" w:color="auto"/>
        <w:left w:val="none" w:sz="0" w:space="0" w:color="auto"/>
        <w:bottom w:val="none" w:sz="0" w:space="0" w:color="auto"/>
        <w:right w:val="none" w:sz="0" w:space="0" w:color="auto"/>
      </w:divBdr>
    </w:div>
    <w:div w:id="819926711">
      <w:bodyDiv w:val="1"/>
      <w:marLeft w:val="0"/>
      <w:marRight w:val="0"/>
      <w:marTop w:val="0"/>
      <w:marBottom w:val="0"/>
      <w:divBdr>
        <w:top w:val="none" w:sz="0" w:space="0" w:color="auto"/>
        <w:left w:val="none" w:sz="0" w:space="0" w:color="auto"/>
        <w:bottom w:val="none" w:sz="0" w:space="0" w:color="auto"/>
        <w:right w:val="none" w:sz="0" w:space="0" w:color="auto"/>
      </w:divBdr>
    </w:div>
    <w:div w:id="866675704">
      <w:bodyDiv w:val="1"/>
      <w:marLeft w:val="0"/>
      <w:marRight w:val="0"/>
      <w:marTop w:val="0"/>
      <w:marBottom w:val="0"/>
      <w:divBdr>
        <w:top w:val="none" w:sz="0" w:space="0" w:color="auto"/>
        <w:left w:val="none" w:sz="0" w:space="0" w:color="auto"/>
        <w:bottom w:val="none" w:sz="0" w:space="0" w:color="auto"/>
        <w:right w:val="none" w:sz="0" w:space="0" w:color="auto"/>
      </w:divBdr>
    </w:div>
    <w:div w:id="928387244">
      <w:bodyDiv w:val="1"/>
      <w:marLeft w:val="0"/>
      <w:marRight w:val="0"/>
      <w:marTop w:val="0"/>
      <w:marBottom w:val="0"/>
      <w:divBdr>
        <w:top w:val="none" w:sz="0" w:space="0" w:color="auto"/>
        <w:left w:val="none" w:sz="0" w:space="0" w:color="auto"/>
        <w:bottom w:val="none" w:sz="0" w:space="0" w:color="auto"/>
        <w:right w:val="none" w:sz="0" w:space="0" w:color="auto"/>
      </w:divBdr>
    </w:div>
    <w:div w:id="968628531">
      <w:bodyDiv w:val="1"/>
      <w:marLeft w:val="0"/>
      <w:marRight w:val="0"/>
      <w:marTop w:val="0"/>
      <w:marBottom w:val="0"/>
      <w:divBdr>
        <w:top w:val="none" w:sz="0" w:space="0" w:color="auto"/>
        <w:left w:val="none" w:sz="0" w:space="0" w:color="auto"/>
        <w:bottom w:val="none" w:sz="0" w:space="0" w:color="auto"/>
        <w:right w:val="none" w:sz="0" w:space="0" w:color="auto"/>
      </w:divBdr>
    </w:div>
    <w:div w:id="1014113523">
      <w:bodyDiv w:val="1"/>
      <w:marLeft w:val="0"/>
      <w:marRight w:val="0"/>
      <w:marTop w:val="0"/>
      <w:marBottom w:val="0"/>
      <w:divBdr>
        <w:top w:val="none" w:sz="0" w:space="0" w:color="auto"/>
        <w:left w:val="none" w:sz="0" w:space="0" w:color="auto"/>
        <w:bottom w:val="none" w:sz="0" w:space="0" w:color="auto"/>
        <w:right w:val="none" w:sz="0" w:space="0" w:color="auto"/>
      </w:divBdr>
    </w:div>
    <w:div w:id="1051535207">
      <w:bodyDiv w:val="1"/>
      <w:marLeft w:val="0"/>
      <w:marRight w:val="0"/>
      <w:marTop w:val="0"/>
      <w:marBottom w:val="0"/>
      <w:divBdr>
        <w:top w:val="none" w:sz="0" w:space="0" w:color="auto"/>
        <w:left w:val="none" w:sz="0" w:space="0" w:color="auto"/>
        <w:bottom w:val="none" w:sz="0" w:space="0" w:color="auto"/>
        <w:right w:val="none" w:sz="0" w:space="0" w:color="auto"/>
      </w:divBdr>
    </w:div>
    <w:div w:id="1117795281">
      <w:bodyDiv w:val="1"/>
      <w:marLeft w:val="0"/>
      <w:marRight w:val="0"/>
      <w:marTop w:val="0"/>
      <w:marBottom w:val="0"/>
      <w:divBdr>
        <w:top w:val="none" w:sz="0" w:space="0" w:color="auto"/>
        <w:left w:val="none" w:sz="0" w:space="0" w:color="auto"/>
        <w:bottom w:val="none" w:sz="0" w:space="0" w:color="auto"/>
        <w:right w:val="none" w:sz="0" w:space="0" w:color="auto"/>
      </w:divBdr>
    </w:div>
    <w:div w:id="1132094875">
      <w:bodyDiv w:val="1"/>
      <w:marLeft w:val="0"/>
      <w:marRight w:val="0"/>
      <w:marTop w:val="0"/>
      <w:marBottom w:val="0"/>
      <w:divBdr>
        <w:top w:val="none" w:sz="0" w:space="0" w:color="auto"/>
        <w:left w:val="none" w:sz="0" w:space="0" w:color="auto"/>
        <w:bottom w:val="none" w:sz="0" w:space="0" w:color="auto"/>
        <w:right w:val="none" w:sz="0" w:space="0" w:color="auto"/>
      </w:divBdr>
    </w:div>
    <w:div w:id="1151795455">
      <w:bodyDiv w:val="1"/>
      <w:marLeft w:val="0"/>
      <w:marRight w:val="0"/>
      <w:marTop w:val="0"/>
      <w:marBottom w:val="0"/>
      <w:divBdr>
        <w:top w:val="none" w:sz="0" w:space="0" w:color="auto"/>
        <w:left w:val="none" w:sz="0" w:space="0" w:color="auto"/>
        <w:bottom w:val="none" w:sz="0" w:space="0" w:color="auto"/>
        <w:right w:val="none" w:sz="0" w:space="0" w:color="auto"/>
      </w:divBdr>
    </w:div>
    <w:div w:id="1183738206">
      <w:bodyDiv w:val="1"/>
      <w:marLeft w:val="0"/>
      <w:marRight w:val="0"/>
      <w:marTop w:val="0"/>
      <w:marBottom w:val="0"/>
      <w:divBdr>
        <w:top w:val="none" w:sz="0" w:space="0" w:color="auto"/>
        <w:left w:val="none" w:sz="0" w:space="0" w:color="auto"/>
        <w:bottom w:val="none" w:sz="0" w:space="0" w:color="auto"/>
        <w:right w:val="none" w:sz="0" w:space="0" w:color="auto"/>
      </w:divBdr>
    </w:div>
    <w:div w:id="1200322109">
      <w:bodyDiv w:val="1"/>
      <w:marLeft w:val="0"/>
      <w:marRight w:val="0"/>
      <w:marTop w:val="0"/>
      <w:marBottom w:val="0"/>
      <w:divBdr>
        <w:top w:val="none" w:sz="0" w:space="0" w:color="auto"/>
        <w:left w:val="none" w:sz="0" w:space="0" w:color="auto"/>
        <w:bottom w:val="none" w:sz="0" w:space="0" w:color="auto"/>
        <w:right w:val="none" w:sz="0" w:space="0" w:color="auto"/>
      </w:divBdr>
    </w:div>
    <w:div w:id="1207987306">
      <w:bodyDiv w:val="1"/>
      <w:marLeft w:val="0"/>
      <w:marRight w:val="0"/>
      <w:marTop w:val="0"/>
      <w:marBottom w:val="0"/>
      <w:divBdr>
        <w:top w:val="none" w:sz="0" w:space="0" w:color="auto"/>
        <w:left w:val="none" w:sz="0" w:space="0" w:color="auto"/>
        <w:bottom w:val="none" w:sz="0" w:space="0" w:color="auto"/>
        <w:right w:val="none" w:sz="0" w:space="0" w:color="auto"/>
      </w:divBdr>
    </w:div>
    <w:div w:id="1257834656">
      <w:bodyDiv w:val="1"/>
      <w:marLeft w:val="0"/>
      <w:marRight w:val="0"/>
      <w:marTop w:val="0"/>
      <w:marBottom w:val="0"/>
      <w:divBdr>
        <w:top w:val="none" w:sz="0" w:space="0" w:color="auto"/>
        <w:left w:val="none" w:sz="0" w:space="0" w:color="auto"/>
        <w:bottom w:val="none" w:sz="0" w:space="0" w:color="auto"/>
        <w:right w:val="none" w:sz="0" w:space="0" w:color="auto"/>
      </w:divBdr>
    </w:div>
    <w:div w:id="1506824954">
      <w:bodyDiv w:val="1"/>
      <w:marLeft w:val="0"/>
      <w:marRight w:val="0"/>
      <w:marTop w:val="0"/>
      <w:marBottom w:val="0"/>
      <w:divBdr>
        <w:top w:val="none" w:sz="0" w:space="0" w:color="auto"/>
        <w:left w:val="none" w:sz="0" w:space="0" w:color="auto"/>
        <w:bottom w:val="none" w:sz="0" w:space="0" w:color="auto"/>
        <w:right w:val="none" w:sz="0" w:space="0" w:color="auto"/>
      </w:divBdr>
    </w:div>
    <w:div w:id="1762069961">
      <w:bodyDiv w:val="1"/>
      <w:marLeft w:val="0"/>
      <w:marRight w:val="0"/>
      <w:marTop w:val="0"/>
      <w:marBottom w:val="0"/>
      <w:divBdr>
        <w:top w:val="none" w:sz="0" w:space="0" w:color="auto"/>
        <w:left w:val="none" w:sz="0" w:space="0" w:color="auto"/>
        <w:bottom w:val="none" w:sz="0" w:space="0" w:color="auto"/>
        <w:right w:val="none" w:sz="0" w:space="0" w:color="auto"/>
      </w:divBdr>
    </w:div>
    <w:div w:id="1971091938">
      <w:bodyDiv w:val="1"/>
      <w:marLeft w:val="0"/>
      <w:marRight w:val="0"/>
      <w:marTop w:val="0"/>
      <w:marBottom w:val="0"/>
      <w:divBdr>
        <w:top w:val="none" w:sz="0" w:space="0" w:color="auto"/>
        <w:left w:val="none" w:sz="0" w:space="0" w:color="auto"/>
        <w:bottom w:val="none" w:sz="0" w:space="0" w:color="auto"/>
        <w:right w:val="none" w:sz="0" w:space="0" w:color="auto"/>
      </w:divBdr>
    </w:div>
    <w:div w:id="2085493851">
      <w:bodyDiv w:val="1"/>
      <w:marLeft w:val="0"/>
      <w:marRight w:val="0"/>
      <w:marTop w:val="0"/>
      <w:marBottom w:val="0"/>
      <w:divBdr>
        <w:top w:val="none" w:sz="0" w:space="0" w:color="auto"/>
        <w:left w:val="none" w:sz="0" w:space="0" w:color="auto"/>
        <w:bottom w:val="none" w:sz="0" w:space="0" w:color="auto"/>
        <w:right w:val="none" w:sz="0" w:space="0" w:color="auto"/>
      </w:divBdr>
    </w:div>
    <w:div w:id="2110618428">
      <w:bodyDiv w:val="1"/>
      <w:marLeft w:val="0"/>
      <w:marRight w:val="0"/>
      <w:marTop w:val="0"/>
      <w:marBottom w:val="0"/>
      <w:divBdr>
        <w:top w:val="none" w:sz="0" w:space="0" w:color="auto"/>
        <w:left w:val="none" w:sz="0" w:space="0" w:color="auto"/>
        <w:bottom w:val="none" w:sz="0" w:space="0" w:color="auto"/>
        <w:right w:val="none" w:sz="0" w:space="0" w:color="auto"/>
      </w:divBdr>
    </w:div>
    <w:div w:id="214095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DDF01-FDF4-41EE-974B-36B4ED8D0871}">
  <ds:schemaRefs>
    <ds:schemaRef ds:uri="http://schemas.microsoft.com/sharepoint/v3/contenttype/forms"/>
  </ds:schemaRefs>
</ds:datastoreItem>
</file>

<file path=customXml/itemProps2.xml><?xml version="1.0" encoding="utf-8"?>
<ds:datastoreItem xmlns:ds="http://schemas.openxmlformats.org/officeDocument/2006/customXml" ds:itemID="{68FA9599-7233-4D4E-A2D5-6F6156EA272F}">
  <ds:schemaRefs>
    <ds:schemaRef ds:uri="http://schemas.microsoft.com/office/2006/metadata/properties"/>
    <ds:schemaRef ds:uri="http://www.w3.org/2000/xmlns/"/>
    <ds:schemaRef ds:uri="6c84a01b-aede-4370-8fa9-b7a959cab531"/>
    <ds:schemaRef ds:uri="http://www.w3.org/2001/XMLSchema-instance"/>
    <ds:schemaRef ds:uri="c19d9144-cbe3-4b5d-a710-46ada0e8ff40"/>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890220-C870-4165-97E6-A61850D7042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F10192B9-121D-4E80-9FCC-DE7B0C44959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c19d9144-cbe3-4b5d-a710-46ada0e8ff40"/>
    <ds:schemaRef ds:uri="6c84a01b-aede-4370-8fa9-b7a959cab53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This paper is in fulfillment of HEFCE’s Audit Code of Practice requirement for each HEI’s Audit Committee (“the Committee”) to submit an Annual Report (“the Report”) to its governing body</vt:lpstr>
    </vt:vector>
  </TitlesOfParts>
  <Company>London Metropolitan University</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paper is in fulfillment of HEFCE’s Audit Code of Practice requirement for each HEI’s Audit Committee (“the Committee”) to submit an Annual Report (“the Report”) to its governing body</dc:title>
  <dc:creator>A005568-050</dc:creator>
  <cp:lastModifiedBy>Balgisa Ahmed</cp:lastModifiedBy>
  <cp:revision>2</cp:revision>
  <cp:lastPrinted>2017-11-15T11:48:00Z</cp:lastPrinted>
  <dcterms:created xsi:type="dcterms:W3CDTF">2025-11-26T18:41:00Z</dcterms:created>
  <dcterms:modified xsi:type="dcterms:W3CDTF">2025-11-26T18:41:00Z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