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F4C9" w14:textId="30686B60" w:rsidR="00D343B1" w:rsidRDefault="00D94921" w:rsidP="00D94921">
      <w:pPr>
        <w:pStyle w:val="Title"/>
        <w:ind w:left="1440" w:firstLine="720"/>
        <w:rPr>
          <w:sz w:val="28"/>
          <w:szCs w:val="28"/>
        </w:rPr>
      </w:pPr>
      <w:r>
        <w:rPr>
          <w:color w:val="E3574A"/>
          <w:sz w:val="28"/>
          <w:szCs w:val="28"/>
        </w:rPr>
        <w:t xml:space="preserve">             </w:t>
      </w:r>
      <w:r w:rsidR="00FC41D5">
        <w:rPr>
          <w:color w:val="00A4DD"/>
          <w:sz w:val="28"/>
          <w:szCs w:val="28"/>
        </w:rPr>
        <w:t>Student Money and Accommodation Advice</w:t>
      </w:r>
    </w:p>
    <w:p w14:paraId="645E9EA8" w14:textId="022261FF" w:rsidR="00D343B1" w:rsidRDefault="001E1349">
      <w:pPr>
        <w:pStyle w:val="Title"/>
      </w:pPr>
      <w:r>
        <w:t>Effect of Previous Study on Full-</w:t>
      </w:r>
      <w:r w:rsidR="00933BA1">
        <w:t>t</w:t>
      </w:r>
      <w:r>
        <w:t>ime Funding Entitlement</w:t>
      </w:r>
    </w:p>
    <w:p w14:paraId="00855D4E" w14:textId="4B6DCC8D" w:rsidR="005C02C0" w:rsidRDefault="001E1349">
      <w:pPr>
        <w:pBdr>
          <w:top w:val="nil"/>
          <w:left w:val="nil"/>
          <w:bottom w:val="nil"/>
          <w:right w:val="nil"/>
          <w:between w:val="nil"/>
        </w:pBdr>
        <w:spacing w:line="240" w:lineRule="auto"/>
      </w:pPr>
      <w:bookmarkStart w:id="0" w:name="_heading=h.sero3obo7drk" w:colFirst="0" w:colLast="0"/>
      <w:bookmarkEnd w:id="0"/>
      <w:r>
        <w:t>You can usually only get funding from Student Finance England for your first full degree. If you are seeking help for a second degree you are unlikely to be eligible for government support*. If you have studied but not completed a higher education course before anywhere in the world you might only get reduced financial help for a second course. Please note that further education does not count as previous study (</w:t>
      </w:r>
      <w:proofErr w:type="spellStart"/>
      <w:r>
        <w:t>eg</w:t>
      </w:r>
      <w:proofErr w:type="spellEnd"/>
      <w:r>
        <w:t xml:space="preserve"> A-levels, Access courses).</w:t>
      </w:r>
    </w:p>
    <w:p w14:paraId="53C85159" w14:textId="0FB056D4" w:rsidR="005C02C0" w:rsidRPr="005C02C0" w:rsidRDefault="005C02C0">
      <w:pPr>
        <w:pBdr>
          <w:top w:val="nil"/>
          <w:left w:val="nil"/>
          <w:bottom w:val="nil"/>
          <w:right w:val="nil"/>
          <w:between w:val="nil"/>
        </w:pBdr>
        <w:spacing w:line="240" w:lineRule="auto"/>
        <w:rPr>
          <w:sz w:val="20"/>
          <w:szCs w:val="20"/>
        </w:rPr>
      </w:pPr>
      <w:r>
        <w:rPr>
          <w:sz w:val="20"/>
          <w:szCs w:val="20"/>
        </w:rPr>
        <w:t>*Students taking courses in architecture, social work and undergraduate Initial Teacher Training (ITT) will continue to be eligible for loans for living costs, even if the course is equivalent to or lower than an award you already hold (ELQ). Students starting courses in September 202</w:t>
      </w:r>
      <w:r w:rsidR="000F230A">
        <w:rPr>
          <w:sz w:val="20"/>
          <w:szCs w:val="20"/>
        </w:rPr>
        <w:t>3</w:t>
      </w:r>
      <w:r>
        <w:rPr>
          <w:sz w:val="20"/>
          <w:szCs w:val="20"/>
        </w:rPr>
        <w:t xml:space="preserve"> in</w:t>
      </w:r>
      <w:r w:rsidR="000F230A">
        <w:rPr>
          <w:sz w:val="20"/>
          <w:szCs w:val="20"/>
        </w:rPr>
        <w:t xml:space="preserve"> Nursing or</w:t>
      </w:r>
      <w:r>
        <w:rPr>
          <w:sz w:val="20"/>
          <w:szCs w:val="20"/>
        </w:rPr>
        <w:t xml:space="preserve"> an allied health professional subject – BSc Dietetics, BSc Dietetics and Nutrition – may find ELQ rules</w:t>
      </w:r>
      <w:r w:rsidR="000F230A">
        <w:rPr>
          <w:sz w:val="20"/>
          <w:szCs w:val="20"/>
        </w:rPr>
        <w:t xml:space="preserve"> and years of previous study</w:t>
      </w:r>
      <w:r>
        <w:rPr>
          <w:sz w:val="20"/>
          <w:szCs w:val="20"/>
        </w:rPr>
        <w:t xml:space="preserve"> are disregarded. Students studying part-time on </w:t>
      </w:r>
      <w:r w:rsidR="00FD3F25" w:rsidRPr="00FD3F25">
        <w:rPr>
          <w:sz w:val="20"/>
          <w:szCs w:val="20"/>
        </w:rPr>
        <w:t>science, technology, engineering, or mathematics (STEM)</w:t>
      </w:r>
      <w:r w:rsidR="00FD3F25">
        <w:rPr>
          <w:sz w:val="20"/>
          <w:szCs w:val="20"/>
        </w:rPr>
        <w:t xml:space="preserve"> </w:t>
      </w:r>
      <w:r>
        <w:rPr>
          <w:sz w:val="20"/>
          <w:szCs w:val="20"/>
        </w:rPr>
        <w:t>courses may be able to receive a fee and maintenance loan even if they already hold a degree</w:t>
      </w:r>
      <w:r w:rsidR="00DA6B8F">
        <w:rPr>
          <w:sz w:val="20"/>
          <w:szCs w:val="20"/>
        </w:rPr>
        <w:t xml:space="preserve"> (f</w:t>
      </w:r>
      <w:r>
        <w:rPr>
          <w:sz w:val="20"/>
          <w:szCs w:val="20"/>
        </w:rPr>
        <w:t>or an up-to-date list of applicable courses, please visit www.londonmet.ac.uk/applying/funding-your-studies/loans/part-time-loan/</w:t>
      </w:r>
      <w:r w:rsidR="00DA6B8F">
        <w:rPr>
          <w:sz w:val="20"/>
          <w:szCs w:val="20"/>
        </w:rPr>
        <w:t>).</w:t>
      </w:r>
    </w:p>
    <w:p w14:paraId="28AA0EFC" w14:textId="77777777" w:rsidR="00D343B1" w:rsidRDefault="001E1349">
      <w:pPr>
        <w:pBdr>
          <w:top w:val="nil"/>
          <w:left w:val="nil"/>
          <w:bottom w:val="nil"/>
          <w:right w:val="nil"/>
          <w:between w:val="nil"/>
        </w:pBdr>
        <w:spacing w:line="240" w:lineRule="auto"/>
        <w:rPr>
          <w:b/>
        </w:rPr>
      </w:pPr>
      <w:bookmarkStart w:id="1" w:name="_heading=h.u8fjw7yk07yz" w:colFirst="0" w:colLast="0"/>
      <w:bookmarkEnd w:id="1"/>
      <w:r>
        <w:rPr>
          <w:b/>
        </w:rPr>
        <w:t>Calculation</w:t>
      </w:r>
    </w:p>
    <w:p w14:paraId="1F0DB0C4" w14:textId="00B0051E" w:rsidR="00D343B1" w:rsidRDefault="001E1349">
      <w:pPr>
        <w:pBdr>
          <w:top w:val="nil"/>
          <w:left w:val="nil"/>
          <w:bottom w:val="nil"/>
          <w:right w:val="nil"/>
          <w:between w:val="nil"/>
        </w:pBdr>
        <w:spacing w:line="240" w:lineRule="auto"/>
      </w:pPr>
      <w:bookmarkStart w:id="2" w:name="_heading=h.spm1irvq5n72" w:colFirst="0" w:colLast="0"/>
      <w:bookmarkEnd w:id="2"/>
      <w:r>
        <w:t>As a general rule</w:t>
      </w:r>
      <w:r w:rsidR="005C02C0">
        <w:t>,</w:t>
      </w:r>
      <w:r>
        <w:t xml:space="preserve"> Tuition Fee Loans are available for the full length of the course, plus one extra year if needed. The number of years for which you are eligible for funding is calculated as follows:</w:t>
      </w:r>
    </w:p>
    <w:tbl>
      <w:tblPr>
        <w:tblStyle w:val="a1"/>
        <w:tblW w:w="10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230"/>
        <w:gridCol w:w="1575"/>
        <w:gridCol w:w="1305"/>
        <w:gridCol w:w="1620"/>
        <w:gridCol w:w="1260"/>
        <w:gridCol w:w="1725"/>
      </w:tblGrid>
      <w:tr w:rsidR="00D343B1" w14:paraId="078183F4" w14:textId="77777777">
        <w:tc>
          <w:tcPr>
            <w:tcW w:w="1620" w:type="dxa"/>
            <w:tcBorders>
              <w:right w:val="single" w:sz="8" w:space="0" w:color="FFFFFF"/>
            </w:tcBorders>
            <w:shd w:val="clear" w:color="auto" w:fill="000000"/>
            <w:tcMar>
              <w:top w:w="100" w:type="dxa"/>
              <w:left w:w="100" w:type="dxa"/>
              <w:bottom w:w="100" w:type="dxa"/>
              <w:right w:w="100" w:type="dxa"/>
            </w:tcMar>
          </w:tcPr>
          <w:p w14:paraId="6B431329" w14:textId="77777777" w:rsidR="00D343B1" w:rsidRDefault="001E1349">
            <w:pPr>
              <w:pBdr>
                <w:top w:val="nil"/>
                <w:left w:val="nil"/>
                <w:bottom w:val="nil"/>
                <w:right w:val="nil"/>
                <w:between w:val="nil"/>
              </w:pBdr>
              <w:spacing w:after="0" w:line="240" w:lineRule="auto"/>
              <w:jc w:val="center"/>
              <w:rPr>
                <w:color w:val="FFFFFF"/>
              </w:rPr>
            </w:pPr>
            <w:r>
              <w:rPr>
                <w:color w:val="FFFFFF"/>
              </w:rPr>
              <w:t>Length of current course</w:t>
            </w:r>
          </w:p>
        </w:tc>
        <w:tc>
          <w:tcPr>
            <w:tcW w:w="1230"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0743026F" w14:textId="77777777" w:rsidR="00D343B1" w:rsidRDefault="00D343B1">
            <w:pPr>
              <w:pBdr>
                <w:top w:val="nil"/>
                <w:left w:val="nil"/>
                <w:bottom w:val="nil"/>
                <w:right w:val="nil"/>
                <w:between w:val="nil"/>
              </w:pBdr>
              <w:spacing w:after="0" w:line="240" w:lineRule="auto"/>
              <w:jc w:val="center"/>
            </w:pPr>
          </w:p>
          <w:p w14:paraId="30C11D97" w14:textId="77777777" w:rsidR="00D343B1" w:rsidRDefault="001E1349">
            <w:pPr>
              <w:pBdr>
                <w:top w:val="nil"/>
                <w:left w:val="nil"/>
                <w:bottom w:val="nil"/>
                <w:right w:val="nil"/>
                <w:between w:val="nil"/>
              </w:pBdr>
              <w:spacing w:after="0" w:line="240" w:lineRule="auto"/>
              <w:jc w:val="center"/>
            </w:pPr>
            <w:r>
              <w:t>Plus</w:t>
            </w:r>
          </w:p>
        </w:tc>
        <w:tc>
          <w:tcPr>
            <w:tcW w:w="1575" w:type="dxa"/>
            <w:tcBorders>
              <w:left w:val="single" w:sz="8" w:space="0" w:color="FFFFFF"/>
              <w:right w:val="single" w:sz="8" w:space="0" w:color="FFFFFF"/>
            </w:tcBorders>
            <w:shd w:val="clear" w:color="auto" w:fill="000000"/>
            <w:tcMar>
              <w:top w:w="100" w:type="dxa"/>
              <w:left w:w="100" w:type="dxa"/>
              <w:bottom w:w="100" w:type="dxa"/>
              <w:right w:w="100" w:type="dxa"/>
            </w:tcMar>
          </w:tcPr>
          <w:p w14:paraId="7B98E558" w14:textId="77777777" w:rsidR="00D343B1" w:rsidRDefault="001E1349">
            <w:pPr>
              <w:pBdr>
                <w:top w:val="nil"/>
                <w:left w:val="nil"/>
                <w:bottom w:val="nil"/>
                <w:right w:val="nil"/>
                <w:between w:val="nil"/>
              </w:pBdr>
              <w:spacing w:after="0" w:line="240" w:lineRule="auto"/>
              <w:jc w:val="center"/>
            </w:pPr>
            <w:r>
              <w:rPr>
                <w:color w:val="FFFFFF"/>
              </w:rPr>
              <w:t>1 additional year</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A369B7" w14:textId="77777777" w:rsidR="00D343B1" w:rsidRDefault="00D343B1">
            <w:pPr>
              <w:pBdr>
                <w:top w:val="nil"/>
                <w:left w:val="nil"/>
                <w:bottom w:val="nil"/>
                <w:right w:val="nil"/>
                <w:between w:val="nil"/>
              </w:pBdr>
              <w:spacing w:after="0" w:line="240" w:lineRule="auto"/>
              <w:jc w:val="center"/>
            </w:pPr>
          </w:p>
          <w:p w14:paraId="1F1B57FE" w14:textId="77777777" w:rsidR="00D343B1" w:rsidRDefault="001E1349">
            <w:pPr>
              <w:pBdr>
                <w:top w:val="nil"/>
                <w:left w:val="nil"/>
                <w:bottom w:val="nil"/>
                <w:right w:val="nil"/>
                <w:between w:val="nil"/>
              </w:pBdr>
              <w:spacing w:after="0" w:line="240" w:lineRule="auto"/>
              <w:jc w:val="center"/>
            </w:pPr>
            <w:r>
              <w:t>Less</w:t>
            </w:r>
          </w:p>
        </w:tc>
        <w:tc>
          <w:tcPr>
            <w:tcW w:w="1620" w:type="dxa"/>
            <w:tcBorders>
              <w:left w:val="single" w:sz="8" w:space="0" w:color="FFFFFF"/>
              <w:right w:val="single" w:sz="8" w:space="0" w:color="FFFFFF"/>
            </w:tcBorders>
            <w:shd w:val="clear" w:color="auto" w:fill="000000"/>
            <w:tcMar>
              <w:top w:w="100" w:type="dxa"/>
              <w:left w:w="100" w:type="dxa"/>
              <w:bottom w:w="100" w:type="dxa"/>
              <w:right w:w="100" w:type="dxa"/>
            </w:tcMar>
          </w:tcPr>
          <w:p w14:paraId="770B5BD3" w14:textId="77777777" w:rsidR="00D343B1" w:rsidRDefault="001E1349">
            <w:pPr>
              <w:pBdr>
                <w:top w:val="nil"/>
                <w:left w:val="nil"/>
                <w:bottom w:val="nil"/>
                <w:right w:val="nil"/>
                <w:between w:val="nil"/>
              </w:pBdr>
              <w:spacing w:after="0" w:line="240" w:lineRule="auto"/>
              <w:jc w:val="center"/>
              <w:rPr>
                <w:color w:val="FFFFFF"/>
              </w:rPr>
            </w:pPr>
            <w:r>
              <w:rPr>
                <w:color w:val="FFFFFF"/>
              </w:rPr>
              <w:t>Years of Previous study</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9CEA278" w14:textId="77777777" w:rsidR="00D343B1" w:rsidRDefault="00D343B1">
            <w:pPr>
              <w:pBdr>
                <w:top w:val="nil"/>
                <w:left w:val="nil"/>
                <w:bottom w:val="nil"/>
                <w:right w:val="nil"/>
                <w:between w:val="nil"/>
              </w:pBdr>
              <w:spacing w:after="0" w:line="240" w:lineRule="auto"/>
              <w:jc w:val="center"/>
            </w:pPr>
          </w:p>
          <w:p w14:paraId="573B8FF6" w14:textId="77777777" w:rsidR="00D343B1" w:rsidRDefault="001E1349">
            <w:pPr>
              <w:pBdr>
                <w:top w:val="nil"/>
                <w:left w:val="nil"/>
                <w:bottom w:val="nil"/>
                <w:right w:val="nil"/>
                <w:between w:val="nil"/>
              </w:pBdr>
              <w:spacing w:after="0" w:line="240" w:lineRule="auto"/>
              <w:jc w:val="center"/>
            </w:pPr>
            <w:r>
              <w:t>Equals</w:t>
            </w:r>
          </w:p>
        </w:tc>
        <w:tc>
          <w:tcPr>
            <w:tcW w:w="1725" w:type="dxa"/>
            <w:tcBorders>
              <w:left w:val="single" w:sz="8" w:space="0" w:color="FFFFFF"/>
            </w:tcBorders>
            <w:shd w:val="clear" w:color="auto" w:fill="000000"/>
            <w:tcMar>
              <w:top w:w="100" w:type="dxa"/>
              <w:left w:w="100" w:type="dxa"/>
              <w:bottom w:w="100" w:type="dxa"/>
              <w:right w:w="100" w:type="dxa"/>
            </w:tcMar>
          </w:tcPr>
          <w:p w14:paraId="230EBD51" w14:textId="77777777" w:rsidR="00D343B1" w:rsidRDefault="001E1349">
            <w:pPr>
              <w:pBdr>
                <w:top w:val="nil"/>
                <w:left w:val="nil"/>
                <w:bottom w:val="nil"/>
                <w:right w:val="nil"/>
                <w:between w:val="nil"/>
              </w:pBdr>
              <w:spacing w:after="0" w:line="240" w:lineRule="auto"/>
              <w:jc w:val="center"/>
              <w:rPr>
                <w:color w:val="FFFFFF"/>
              </w:rPr>
            </w:pPr>
            <w:r>
              <w:rPr>
                <w:color w:val="FFFFFF"/>
              </w:rPr>
              <w:t>Standard entitlement</w:t>
            </w:r>
          </w:p>
        </w:tc>
      </w:tr>
    </w:tbl>
    <w:p w14:paraId="0EAFCB9C" w14:textId="77777777" w:rsidR="00D343B1" w:rsidRDefault="00D343B1">
      <w:pPr>
        <w:pBdr>
          <w:top w:val="nil"/>
          <w:left w:val="nil"/>
          <w:bottom w:val="nil"/>
          <w:right w:val="nil"/>
          <w:between w:val="nil"/>
        </w:pBdr>
        <w:spacing w:line="240" w:lineRule="auto"/>
      </w:pPr>
      <w:bookmarkStart w:id="3" w:name="_heading=h.o65eblmxkj5" w:colFirst="0" w:colLast="0"/>
      <w:bookmarkEnd w:id="3"/>
    </w:p>
    <w:p w14:paraId="0922DA58" w14:textId="77777777" w:rsidR="00D343B1" w:rsidRDefault="001E1349">
      <w:pPr>
        <w:pBdr>
          <w:top w:val="nil"/>
          <w:left w:val="nil"/>
          <w:bottom w:val="nil"/>
          <w:right w:val="nil"/>
          <w:between w:val="nil"/>
        </w:pBdr>
        <w:spacing w:line="240" w:lineRule="auto"/>
      </w:pPr>
      <w:bookmarkStart w:id="4" w:name="_heading=h.26f2zdxwo1lp" w:colFirst="0" w:colLast="0"/>
      <w:bookmarkEnd w:id="4"/>
      <w:r>
        <w:t>Therefore, if your standard entitlement is less than the duration of your course, for example standard entitlement = 2 years on a 3-year course, you will have to pay the tuition fees yourself for year 1 because any reductions in funding due to previous study are taken off the earlier years of your course.</w:t>
      </w:r>
    </w:p>
    <w:p w14:paraId="59D11936" w14:textId="38185B20" w:rsidR="00D343B1" w:rsidRDefault="001E1349" w:rsidP="005C02C0">
      <w:pPr>
        <w:pBdr>
          <w:top w:val="nil"/>
          <w:left w:val="nil"/>
          <w:bottom w:val="nil"/>
          <w:right w:val="nil"/>
          <w:between w:val="nil"/>
        </w:pBdr>
        <w:spacing w:line="240" w:lineRule="auto"/>
      </w:pPr>
      <w:bookmarkStart w:id="5" w:name="_heading=h.f3p2mi15dgof" w:colFirst="0" w:colLast="0"/>
      <w:bookmarkEnd w:id="5"/>
      <w:r>
        <w:t>Under the student support regulations</w:t>
      </w:r>
      <w:r w:rsidR="005C02C0">
        <w:t>,</w:t>
      </w:r>
      <w:r>
        <w:t xml:space="preserve"> a further additional year of tuition fee support may be made available if a student needs to repeat a year due to compelling personal reasons (CPR) and can prove this. CPR can include health/unforeseen exceptional circumstances. All cases need to be evidenced and this can be medical evidence or letters of support from social workers </w:t>
      </w:r>
      <w:r>
        <w:lastRenderedPageBreak/>
        <w:t>or police reports. You should make an appointment to see a Student Money and Accommodation Adviser for guidance when applying for CPR.</w:t>
      </w:r>
      <w:bookmarkStart w:id="6" w:name="_heading=h.1rj6091wr7jl" w:colFirst="0" w:colLast="0"/>
      <w:bookmarkEnd w:id="6"/>
    </w:p>
    <w:p w14:paraId="45C11ECF" w14:textId="61F5A3A1" w:rsidR="00D343B1" w:rsidRPr="007B4E8D" w:rsidRDefault="00DA6B8F">
      <w:pPr>
        <w:pBdr>
          <w:top w:val="nil"/>
          <w:left w:val="nil"/>
          <w:bottom w:val="nil"/>
          <w:right w:val="nil"/>
          <w:between w:val="nil"/>
        </w:pBdr>
        <w:spacing w:line="240" w:lineRule="auto"/>
        <w:rPr>
          <w:bCs/>
        </w:rPr>
      </w:pPr>
      <w:bookmarkStart w:id="7" w:name="_heading=h.5qigrt10n8pn" w:colFirst="0" w:colLast="0"/>
      <w:bookmarkEnd w:id="7"/>
      <w:r>
        <w:rPr>
          <w:bCs/>
        </w:rPr>
        <w:t>Please note</w:t>
      </w:r>
      <w:r w:rsidR="001E1349" w:rsidRPr="007B4E8D">
        <w:rPr>
          <w:bCs/>
        </w:rPr>
        <w:t xml:space="preserve">: For the purposes of the </w:t>
      </w:r>
      <w:r>
        <w:rPr>
          <w:bCs/>
        </w:rPr>
        <w:t xml:space="preserve">previous study </w:t>
      </w:r>
      <w:r w:rsidR="001E1349" w:rsidRPr="007B4E8D">
        <w:rPr>
          <w:bCs/>
        </w:rPr>
        <w:t xml:space="preserve">calculation, enrolling on a full-time course is equal to one day’s attendance and this will count as one whole year of </w:t>
      </w:r>
      <w:r w:rsidR="00A45241">
        <w:rPr>
          <w:bCs/>
        </w:rPr>
        <w:t>funding entitlement</w:t>
      </w:r>
      <w:r w:rsidR="001E1349" w:rsidRPr="007B4E8D">
        <w:rPr>
          <w:bCs/>
        </w:rPr>
        <w:t>.</w:t>
      </w:r>
    </w:p>
    <w:p w14:paraId="35D66E34" w14:textId="77777777" w:rsidR="00D343B1" w:rsidRDefault="001E1349">
      <w:pPr>
        <w:pBdr>
          <w:top w:val="nil"/>
          <w:left w:val="nil"/>
          <w:bottom w:val="nil"/>
          <w:right w:val="nil"/>
          <w:between w:val="nil"/>
        </w:pBdr>
        <w:spacing w:line="240" w:lineRule="auto"/>
        <w:rPr>
          <w:b/>
        </w:rPr>
      </w:pPr>
      <w:bookmarkStart w:id="8" w:name="_heading=h.payp0fce7ye2" w:colFirst="0" w:colLast="0"/>
      <w:bookmarkStart w:id="9" w:name="_heading=h.tj5jvsu1af66" w:colFirst="0" w:colLast="0"/>
      <w:bookmarkEnd w:id="8"/>
      <w:bookmarkEnd w:id="9"/>
      <w:r>
        <w:rPr>
          <w:b/>
        </w:rPr>
        <w:t>Maintenance Loan and supplementary grants</w:t>
      </w:r>
    </w:p>
    <w:p w14:paraId="27D51225" w14:textId="196CA6FB" w:rsidR="00D343B1" w:rsidRDefault="001E1349">
      <w:pPr>
        <w:pBdr>
          <w:top w:val="nil"/>
          <w:left w:val="nil"/>
          <w:bottom w:val="nil"/>
          <w:right w:val="nil"/>
          <w:between w:val="nil"/>
        </w:pBdr>
        <w:spacing w:line="240" w:lineRule="auto"/>
      </w:pPr>
      <w:bookmarkStart w:id="10" w:name="_heading=h.9jm0i123em3w" w:colFirst="0" w:colLast="0"/>
      <w:bookmarkEnd w:id="10"/>
      <w:r>
        <w:t>The Maintenance Loan and some supplementary grants (Child Care Grant, Parents’ Learning Allowance, and Adult Dependants’ Grant) may be available to those who’ve previously studied.</w:t>
      </w:r>
      <w:bookmarkStart w:id="11" w:name="_heading=h.n8jvl93v1wed" w:colFirst="0" w:colLast="0"/>
      <w:bookmarkEnd w:id="11"/>
    </w:p>
    <w:p w14:paraId="3425CBEA" w14:textId="77777777" w:rsidR="00D343B1" w:rsidRDefault="001E1349">
      <w:pPr>
        <w:pBdr>
          <w:top w:val="nil"/>
          <w:left w:val="nil"/>
          <w:bottom w:val="nil"/>
          <w:right w:val="nil"/>
          <w:between w:val="nil"/>
        </w:pBdr>
        <w:spacing w:line="240" w:lineRule="auto"/>
        <w:rPr>
          <w:b/>
        </w:rPr>
      </w:pPr>
      <w:bookmarkStart w:id="12" w:name="_heading=h.jvttv6wk8q6i" w:colFirst="0" w:colLast="0"/>
      <w:bookmarkEnd w:id="12"/>
      <w:r>
        <w:rPr>
          <w:b/>
        </w:rPr>
        <w:t>What does not count as previous study?</w:t>
      </w:r>
    </w:p>
    <w:p w14:paraId="662A5803" w14:textId="2FFE88FD" w:rsidR="00D343B1" w:rsidRDefault="001E1349">
      <w:pPr>
        <w:pBdr>
          <w:top w:val="nil"/>
          <w:left w:val="nil"/>
          <w:bottom w:val="nil"/>
          <w:right w:val="nil"/>
          <w:between w:val="nil"/>
        </w:pBdr>
        <w:spacing w:line="240" w:lineRule="auto"/>
      </w:pPr>
      <w:bookmarkStart w:id="13" w:name="_heading=h.k3v5pwd8cr4" w:colFirst="0" w:colLast="0"/>
      <w:bookmarkEnd w:id="13"/>
      <w:r>
        <w:t>Previous part-time study which did not lead to a qualification and self-funded study at a private institution which did not lead to a qualification are not taken into account when considering</w:t>
      </w:r>
      <w:bookmarkStart w:id="14" w:name="_heading=h.bm9a4gdd7qvb" w:colFirst="0" w:colLast="0"/>
      <w:bookmarkEnd w:id="14"/>
      <w:r w:rsidR="007B4E8D">
        <w:t xml:space="preserve"> </w:t>
      </w:r>
      <w:r>
        <w:t>full-time funding entitlement. Please see a Student Money and Accommodation Adviser if you would like to clarify your situation.</w:t>
      </w:r>
    </w:p>
    <w:p w14:paraId="017F484E" w14:textId="77777777" w:rsidR="00D343B1" w:rsidRDefault="001E1349">
      <w:pPr>
        <w:pStyle w:val="Heading2"/>
      </w:pPr>
      <w:bookmarkStart w:id="15" w:name="_heading=h.1vbj5ymnyfao" w:colFirst="0" w:colLast="0"/>
      <w:bookmarkEnd w:id="15"/>
      <w:r>
        <w:t xml:space="preserve">How to contact us </w:t>
      </w:r>
    </w:p>
    <w:p w14:paraId="0B058A51" w14:textId="77777777" w:rsidR="00D343B1" w:rsidRDefault="001E1349">
      <w:pPr>
        <w:spacing w:line="240" w:lineRule="auto"/>
      </w:pPr>
      <w:r>
        <w:t xml:space="preserve">Please visit </w:t>
      </w:r>
      <w:hyperlink r:id="rId7">
        <w:r>
          <w:rPr>
            <w:color w:val="1155CC"/>
            <w:u w:val="single"/>
          </w:rPr>
          <w:t>www.londonmet.ac.uk/advice</w:t>
        </w:r>
      </w:hyperlink>
      <w:r>
        <w:t xml:space="preserve"> for up-to-date appointment times and online booking form.</w:t>
      </w:r>
    </w:p>
    <w:p w14:paraId="6E97FED2" w14:textId="77777777" w:rsidR="00D343B1" w:rsidRDefault="00D343B1">
      <w:pPr>
        <w:pBdr>
          <w:top w:val="nil"/>
          <w:left w:val="nil"/>
          <w:bottom w:val="nil"/>
          <w:right w:val="nil"/>
          <w:between w:val="nil"/>
        </w:pBdr>
      </w:pPr>
      <w:bookmarkStart w:id="16" w:name="_heading=h.1qul4bployaf" w:colFirst="0" w:colLast="0"/>
      <w:bookmarkEnd w:id="16"/>
    </w:p>
    <w:p w14:paraId="5817A8E0" w14:textId="77777777" w:rsidR="00D343B1" w:rsidRDefault="00D343B1">
      <w:pPr>
        <w:pBdr>
          <w:top w:val="nil"/>
          <w:left w:val="nil"/>
          <w:bottom w:val="nil"/>
          <w:right w:val="nil"/>
          <w:between w:val="nil"/>
        </w:pBdr>
        <w:spacing w:line="240" w:lineRule="auto"/>
      </w:pPr>
      <w:bookmarkStart w:id="17" w:name="_heading=h.1p7lrtrk9q4k" w:colFirst="0" w:colLast="0"/>
      <w:bookmarkEnd w:id="17"/>
    </w:p>
    <w:p w14:paraId="1EB66EDF" w14:textId="77777777" w:rsidR="00D343B1" w:rsidRDefault="00D343B1">
      <w:pPr>
        <w:pBdr>
          <w:top w:val="nil"/>
          <w:left w:val="nil"/>
          <w:bottom w:val="nil"/>
          <w:right w:val="nil"/>
          <w:between w:val="nil"/>
        </w:pBdr>
        <w:spacing w:line="240" w:lineRule="auto"/>
      </w:pPr>
      <w:bookmarkStart w:id="18" w:name="_heading=h.azksayyq7pkn" w:colFirst="0" w:colLast="0"/>
      <w:bookmarkEnd w:id="18"/>
    </w:p>
    <w:p w14:paraId="57C81E27" w14:textId="7BB0A4FC" w:rsidR="00D343B1" w:rsidRDefault="00D343B1">
      <w:pPr>
        <w:pBdr>
          <w:top w:val="nil"/>
          <w:left w:val="nil"/>
          <w:bottom w:val="nil"/>
          <w:right w:val="nil"/>
          <w:between w:val="nil"/>
        </w:pBdr>
        <w:spacing w:line="240" w:lineRule="auto"/>
      </w:pPr>
      <w:bookmarkStart w:id="19" w:name="_heading=h.5o1wolmvmz6j" w:colFirst="0" w:colLast="0"/>
      <w:bookmarkEnd w:id="19"/>
    </w:p>
    <w:p w14:paraId="42B65580" w14:textId="67FAF660" w:rsidR="005C02C0" w:rsidRDefault="005C02C0">
      <w:pPr>
        <w:pBdr>
          <w:top w:val="nil"/>
          <w:left w:val="nil"/>
          <w:bottom w:val="nil"/>
          <w:right w:val="nil"/>
          <w:between w:val="nil"/>
        </w:pBdr>
        <w:spacing w:line="240" w:lineRule="auto"/>
      </w:pPr>
    </w:p>
    <w:p w14:paraId="21CAA9C7" w14:textId="76DFF628" w:rsidR="005C02C0" w:rsidRDefault="005C02C0">
      <w:pPr>
        <w:pBdr>
          <w:top w:val="nil"/>
          <w:left w:val="nil"/>
          <w:bottom w:val="nil"/>
          <w:right w:val="nil"/>
          <w:between w:val="nil"/>
        </w:pBdr>
        <w:spacing w:line="240" w:lineRule="auto"/>
      </w:pPr>
    </w:p>
    <w:p w14:paraId="08F34596" w14:textId="77C13214" w:rsidR="005C02C0" w:rsidRDefault="005C02C0">
      <w:pPr>
        <w:pBdr>
          <w:top w:val="nil"/>
          <w:left w:val="nil"/>
          <w:bottom w:val="nil"/>
          <w:right w:val="nil"/>
          <w:between w:val="nil"/>
        </w:pBdr>
        <w:spacing w:line="240" w:lineRule="auto"/>
      </w:pPr>
    </w:p>
    <w:p w14:paraId="49AB1802" w14:textId="43C4F08C" w:rsidR="005C02C0" w:rsidRDefault="005C02C0">
      <w:pPr>
        <w:pBdr>
          <w:top w:val="nil"/>
          <w:left w:val="nil"/>
          <w:bottom w:val="nil"/>
          <w:right w:val="nil"/>
          <w:between w:val="nil"/>
        </w:pBdr>
        <w:spacing w:line="240" w:lineRule="auto"/>
      </w:pPr>
    </w:p>
    <w:p w14:paraId="754D134E" w14:textId="4BF50D2C" w:rsidR="005C02C0" w:rsidRDefault="005C02C0">
      <w:pPr>
        <w:pBdr>
          <w:top w:val="nil"/>
          <w:left w:val="nil"/>
          <w:bottom w:val="nil"/>
          <w:right w:val="nil"/>
          <w:between w:val="nil"/>
        </w:pBdr>
        <w:spacing w:line="240" w:lineRule="auto"/>
      </w:pPr>
    </w:p>
    <w:p w14:paraId="13072282" w14:textId="13C3A0AF" w:rsidR="005C02C0" w:rsidRDefault="005C02C0">
      <w:pPr>
        <w:pBdr>
          <w:top w:val="nil"/>
          <w:left w:val="nil"/>
          <w:bottom w:val="nil"/>
          <w:right w:val="nil"/>
          <w:between w:val="nil"/>
        </w:pBdr>
        <w:spacing w:line="240" w:lineRule="auto"/>
      </w:pPr>
    </w:p>
    <w:p w14:paraId="52F809AD" w14:textId="10982338" w:rsidR="005C02C0" w:rsidRDefault="005C02C0">
      <w:pPr>
        <w:pBdr>
          <w:top w:val="nil"/>
          <w:left w:val="nil"/>
          <w:bottom w:val="nil"/>
          <w:right w:val="nil"/>
          <w:between w:val="nil"/>
        </w:pBdr>
        <w:spacing w:line="240" w:lineRule="auto"/>
      </w:pPr>
    </w:p>
    <w:p w14:paraId="378BC800" w14:textId="77777777" w:rsidR="005C02C0" w:rsidRDefault="005C02C0">
      <w:pPr>
        <w:pBdr>
          <w:top w:val="nil"/>
          <w:left w:val="nil"/>
          <w:bottom w:val="nil"/>
          <w:right w:val="nil"/>
          <w:between w:val="nil"/>
        </w:pBdr>
        <w:spacing w:line="240" w:lineRule="auto"/>
      </w:pPr>
    </w:p>
    <w:p w14:paraId="3339A066" w14:textId="77777777" w:rsidR="00D343B1" w:rsidRPr="005C02C0" w:rsidRDefault="001E1349">
      <w:pPr>
        <w:pBdr>
          <w:top w:val="nil"/>
          <w:left w:val="nil"/>
          <w:bottom w:val="nil"/>
          <w:right w:val="nil"/>
          <w:between w:val="nil"/>
        </w:pBdr>
        <w:spacing w:line="240" w:lineRule="auto"/>
        <w:rPr>
          <w:sz w:val="20"/>
          <w:szCs w:val="20"/>
        </w:rPr>
      </w:pPr>
      <w:bookmarkStart w:id="20" w:name="_heading=h.9fghjcafj51c" w:colFirst="0" w:colLast="0"/>
      <w:bookmarkEnd w:id="20"/>
      <w:r w:rsidRPr="005C02C0">
        <w:rPr>
          <w:sz w:val="20"/>
          <w:szCs w:val="20"/>
        </w:rPr>
        <w:t>The Regulations referred to throughout this information sheet are the Education (Student Support) Regulations 2011 (2011/1986) as amended by the Education (Student Fees, Awards and Support) (Amendment) Regulations 2012 and 2017, the Education (Student Support and European University Institute) (Amendment) Regulations 2013 (2013/1728). Regulations 12, 12(7), 19(10) and 30(1) of the above apply to this information sheet.</w:t>
      </w:r>
    </w:p>
    <w:p w14:paraId="4592B433" w14:textId="28EA9F7B" w:rsidR="00D343B1" w:rsidRPr="005C02C0" w:rsidRDefault="001E1349">
      <w:pPr>
        <w:pBdr>
          <w:top w:val="nil"/>
          <w:left w:val="nil"/>
          <w:bottom w:val="nil"/>
          <w:right w:val="nil"/>
          <w:between w:val="nil"/>
        </w:pBdr>
        <w:spacing w:line="240" w:lineRule="auto"/>
        <w:rPr>
          <w:sz w:val="20"/>
          <w:szCs w:val="20"/>
        </w:rPr>
      </w:pPr>
      <w:bookmarkStart w:id="21" w:name="_heading=h.1g1tg8k3bf47" w:colFirst="0" w:colLast="0"/>
      <w:bookmarkEnd w:id="21"/>
      <w:r w:rsidRPr="005C02C0">
        <w:rPr>
          <w:sz w:val="20"/>
          <w:szCs w:val="20"/>
        </w:rPr>
        <w:t>The content of this information sheet has been compiled using information from external sources, as well as University data. The content has been carefully checked and is given in good faith. However, the University cannot accept responsibility for the consequences of any inaccuracy.</w:t>
      </w:r>
      <w:bookmarkStart w:id="22" w:name="_heading=h.kxqybxf1u4d7" w:colFirst="0" w:colLast="0"/>
      <w:bookmarkEnd w:id="22"/>
    </w:p>
    <w:p w14:paraId="2817DA5A" w14:textId="7ED5B11A" w:rsidR="00D343B1" w:rsidRPr="005C02C0" w:rsidRDefault="000F230A">
      <w:pPr>
        <w:pBdr>
          <w:top w:val="nil"/>
          <w:left w:val="nil"/>
          <w:bottom w:val="nil"/>
          <w:right w:val="nil"/>
          <w:between w:val="nil"/>
        </w:pBdr>
        <w:spacing w:line="240" w:lineRule="auto"/>
        <w:rPr>
          <w:b/>
          <w:sz w:val="20"/>
          <w:szCs w:val="20"/>
        </w:rPr>
      </w:pPr>
      <w:bookmarkStart w:id="23" w:name="_heading=h.b2ohro9rc2vq" w:colFirst="0" w:colLast="0"/>
      <w:bookmarkEnd w:id="23"/>
      <w:r>
        <w:rPr>
          <w:sz w:val="20"/>
          <w:szCs w:val="20"/>
        </w:rPr>
        <w:t>July 2023</w:t>
      </w:r>
    </w:p>
    <w:sectPr w:rsidR="00D343B1" w:rsidRPr="005C02C0">
      <w:headerReference w:type="first" r:id="rId8"/>
      <w:pgSz w:w="11900" w:h="16840"/>
      <w:pgMar w:top="1133" w:right="715" w:bottom="381" w:left="85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E762" w14:textId="77777777" w:rsidR="00D541D6" w:rsidRDefault="00D541D6">
      <w:pPr>
        <w:spacing w:after="0" w:line="240" w:lineRule="auto"/>
      </w:pPr>
      <w:r>
        <w:separator/>
      </w:r>
    </w:p>
  </w:endnote>
  <w:endnote w:type="continuationSeparator" w:id="0">
    <w:p w14:paraId="2C02718B" w14:textId="77777777" w:rsidR="00D541D6" w:rsidRDefault="00D5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MinionPro-Regular">
    <w:altName w:val="Cambria"/>
    <w:panose1 w:val="00000000000000000000"/>
    <w:charset w:val="00"/>
    <w:family w:val="roman"/>
    <w:notTrueType/>
    <w:pitch w:val="default"/>
  </w:font>
  <w:font w:name="EB Garamond">
    <w:altName w:val="Calibri"/>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FF8B" w14:textId="77777777" w:rsidR="00D541D6" w:rsidRDefault="00D541D6">
      <w:pPr>
        <w:spacing w:after="0" w:line="240" w:lineRule="auto"/>
      </w:pPr>
      <w:r>
        <w:separator/>
      </w:r>
    </w:p>
  </w:footnote>
  <w:footnote w:type="continuationSeparator" w:id="0">
    <w:p w14:paraId="52287C3A" w14:textId="77777777" w:rsidR="00D541D6" w:rsidRDefault="00D5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EFCC" w14:textId="77777777" w:rsidR="00D343B1" w:rsidRDefault="001E1349">
    <w:pPr>
      <w:widowControl/>
      <w:pBdr>
        <w:top w:val="nil"/>
        <w:left w:val="nil"/>
        <w:bottom w:val="nil"/>
        <w:right w:val="nil"/>
        <w:between w:val="nil"/>
      </w:pBdr>
      <w:spacing w:after="0" w:line="288" w:lineRule="auto"/>
      <w:rPr>
        <w:color w:val="000000"/>
        <w:sz w:val="10"/>
        <w:szCs w:val="10"/>
      </w:rPr>
    </w:pPr>
    <w:r>
      <w:rPr>
        <w:color w:val="000000"/>
      </w:rPr>
      <w:t>Student Services</w:t>
    </w:r>
    <w:r>
      <w:rPr>
        <w:noProof/>
      </w:rPr>
      <w:drawing>
        <wp:anchor distT="0" distB="0" distL="114300" distR="114300" simplePos="0" relativeHeight="251658240" behindDoc="0" locked="0" layoutInCell="1" hidden="0" allowOverlap="1" wp14:anchorId="494E957D" wp14:editId="66C9B80C">
          <wp:simplePos x="0" y="0"/>
          <wp:positionH relativeFrom="column">
            <wp:posOffset>-283207</wp:posOffset>
          </wp:positionH>
          <wp:positionV relativeFrom="paragraph">
            <wp:posOffset>-669922</wp:posOffset>
          </wp:positionV>
          <wp:extent cx="2160905" cy="55435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3B95514E" w14:textId="77777777" w:rsidR="00D343B1" w:rsidRDefault="00D343B1">
    <w:pPr>
      <w:widowControl/>
      <w:pBdr>
        <w:top w:val="nil"/>
        <w:left w:val="nil"/>
        <w:bottom w:val="nil"/>
        <w:right w:val="nil"/>
        <w:between w:val="nil"/>
      </w:pBdr>
      <w:spacing w:after="0" w:line="288" w:lineRule="auto"/>
      <w:rPr>
        <w:color w:val="000000"/>
        <w:sz w:val="10"/>
        <w:szCs w:val="10"/>
      </w:rPr>
    </w:pPr>
  </w:p>
  <w:p w14:paraId="6A5D0243" w14:textId="77777777" w:rsidR="00D343B1" w:rsidRDefault="001E1349">
    <w:pPr>
      <w:widowControl/>
      <w:pBdr>
        <w:top w:val="nil"/>
        <w:left w:val="nil"/>
        <w:bottom w:val="nil"/>
        <w:right w:val="nil"/>
        <w:between w:val="nil"/>
      </w:pBdr>
      <w:spacing w:after="0" w:line="288" w:lineRule="auto"/>
      <w:rPr>
        <w:b/>
        <w:color w:val="E3574A"/>
      </w:rPr>
    </w:pPr>
    <w:r>
      <w:rPr>
        <w:rFonts w:ascii="EB Garamond" w:eastAsia="EB Garamond" w:hAnsi="EB Garamond" w:cs="EB Garamond"/>
        <w:noProof/>
        <w:color w:val="000000"/>
      </w:rPr>
      <w:drawing>
        <wp:inline distT="0" distB="0" distL="0" distR="0" wp14:anchorId="63A683D1" wp14:editId="061BD281">
          <wp:extent cx="5727700" cy="171894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27700" cy="17189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OOI3KxVqnNA+AjlM6+F9ufM7AAq1t9ylXS+6B2ND5zy39UzW93RO/NWgPnwMuu8T+UkPetggWq+Y8SgMAciqlw==" w:salt="GVLme18G4wsuv+wswtnF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B1"/>
    <w:rsid w:val="000937CD"/>
    <w:rsid w:val="000F230A"/>
    <w:rsid w:val="001E1349"/>
    <w:rsid w:val="004756EA"/>
    <w:rsid w:val="0048016C"/>
    <w:rsid w:val="004822BA"/>
    <w:rsid w:val="005C02C0"/>
    <w:rsid w:val="007B4E8D"/>
    <w:rsid w:val="00933BA1"/>
    <w:rsid w:val="00945767"/>
    <w:rsid w:val="009F0CED"/>
    <w:rsid w:val="00A45241"/>
    <w:rsid w:val="00D343B1"/>
    <w:rsid w:val="00D541D6"/>
    <w:rsid w:val="00D94921"/>
    <w:rsid w:val="00DA6B8F"/>
    <w:rsid w:val="00FC41D5"/>
    <w:rsid w:val="00FD3F25"/>
    <w:rsid w:val="00FE4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09CE"/>
  <w15:docId w15:val="{E4EF4DAD-5DC1-4A4D-8296-5982762D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semiHidden/>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ondonmet.ac.uk/adv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HoaaZwimz9vNMPjD0jVX1+2Obw==">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3517</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McLachlan</cp:lastModifiedBy>
  <cp:revision>14</cp:revision>
  <dcterms:created xsi:type="dcterms:W3CDTF">2021-05-18T14:35:00Z</dcterms:created>
  <dcterms:modified xsi:type="dcterms:W3CDTF">2023-07-20T11:05:00Z</dcterms:modified>
</cp:coreProperties>
</file>