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8A9E" w14:textId="0BA571CB" w:rsidR="005264C6" w:rsidRPr="004261CD" w:rsidRDefault="005264C6" w:rsidP="005264C6">
      <w:pPr>
        <w:rPr>
          <w:rFonts w:ascii="Arial" w:hAnsi="Arial" w:cs="Arial"/>
          <w:b/>
          <w:lang w:val="en-GB"/>
        </w:rPr>
      </w:pPr>
    </w:p>
    <w:p w14:paraId="650B3A88" w14:textId="7AD15FAD" w:rsidR="005264C6" w:rsidRPr="004261CD" w:rsidRDefault="005264C6" w:rsidP="005264C6">
      <w:pPr>
        <w:rPr>
          <w:rFonts w:ascii="Arial" w:hAnsi="Arial" w:cs="Arial"/>
          <w:b/>
          <w:lang w:val="en-GB"/>
        </w:rPr>
      </w:pPr>
    </w:p>
    <w:p w14:paraId="4D505BBE" w14:textId="02EDB473" w:rsidR="005264C6" w:rsidRPr="004261CD" w:rsidRDefault="008E24C5" w:rsidP="005264C6">
      <w:pPr>
        <w:rPr>
          <w:rFonts w:ascii="Arial" w:hAnsi="Arial" w:cs="Arial"/>
          <w:b/>
          <w:lang w:val="en-GB"/>
        </w:rPr>
      </w:pPr>
      <w:r>
        <w:rPr>
          <w:rFonts w:ascii="Arial" w:eastAsia="Arial" w:hAnsi="Arial"/>
          <w:b/>
          <w:noProof/>
          <w:sz w:val="11"/>
        </w:rPr>
        <w:drawing>
          <wp:anchor distT="0" distB="0" distL="114300" distR="114300" simplePos="0" relativeHeight="251658240" behindDoc="1" locked="0" layoutInCell="1" allowOverlap="1" wp14:anchorId="74305892" wp14:editId="55E08ABA">
            <wp:simplePos x="0" y="0"/>
            <wp:positionH relativeFrom="page">
              <wp:posOffset>540385</wp:posOffset>
            </wp:positionH>
            <wp:positionV relativeFrom="page">
              <wp:posOffset>890270</wp:posOffset>
            </wp:positionV>
            <wp:extent cx="2170430" cy="652145"/>
            <wp:effectExtent l="0" t="0" r="0" b="0"/>
            <wp:wrapNone/>
            <wp:docPr id="600" name="Picture 60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Picture 600" descr="Text&#10;&#10;Description automatically generated with low confidence"/>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70430" cy="652145"/>
                    </a:xfrm>
                    <a:prstGeom prst="rect">
                      <a:avLst/>
                    </a:prstGeom>
                    <a:noFill/>
                  </pic:spPr>
                </pic:pic>
              </a:graphicData>
            </a:graphic>
            <wp14:sizeRelH relativeFrom="page">
              <wp14:pctWidth>0</wp14:pctWidth>
            </wp14:sizeRelH>
            <wp14:sizeRelV relativeFrom="page">
              <wp14:pctHeight>0</wp14:pctHeight>
            </wp14:sizeRelV>
          </wp:anchor>
        </w:drawing>
      </w:r>
    </w:p>
    <w:p w14:paraId="2959F164" w14:textId="2E56858E" w:rsidR="005264C6" w:rsidRPr="004261CD" w:rsidRDefault="005264C6" w:rsidP="005264C6">
      <w:pPr>
        <w:rPr>
          <w:rFonts w:ascii="Arial" w:hAnsi="Arial" w:cs="Arial"/>
          <w:b/>
          <w:lang w:val="en-GB"/>
        </w:rPr>
      </w:pPr>
    </w:p>
    <w:p w14:paraId="07258907" w14:textId="77777777" w:rsidR="008E24C5" w:rsidRDefault="008E24C5" w:rsidP="005264C6">
      <w:pPr>
        <w:rPr>
          <w:rFonts w:ascii="Arial" w:hAnsi="Arial" w:cs="Arial"/>
          <w:b/>
          <w:sz w:val="22"/>
          <w:szCs w:val="22"/>
          <w:lang w:val="en-GB"/>
        </w:rPr>
      </w:pPr>
    </w:p>
    <w:p w14:paraId="00F39BF8" w14:textId="77777777" w:rsidR="008E24C5" w:rsidRDefault="008E24C5" w:rsidP="005264C6">
      <w:pPr>
        <w:rPr>
          <w:rFonts w:ascii="Arial" w:hAnsi="Arial" w:cs="Arial"/>
          <w:b/>
          <w:sz w:val="22"/>
          <w:szCs w:val="22"/>
          <w:lang w:val="en-GB"/>
        </w:rPr>
      </w:pPr>
    </w:p>
    <w:p w14:paraId="219F04C2" w14:textId="77777777" w:rsidR="008E24C5" w:rsidRDefault="008E24C5" w:rsidP="005264C6">
      <w:pPr>
        <w:rPr>
          <w:rFonts w:ascii="Arial" w:hAnsi="Arial" w:cs="Arial"/>
          <w:b/>
          <w:sz w:val="22"/>
          <w:szCs w:val="22"/>
          <w:lang w:val="en-GB"/>
        </w:rPr>
      </w:pPr>
    </w:p>
    <w:p w14:paraId="0B740234" w14:textId="77777777" w:rsidR="008E24C5" w:rsidRDefault="008E24C5" w:rsidP="005264C6">
      <w:pPr>
        <w:rPr>
          <w:rFonts w:ascii="Arial" w:hAnsi="Arial" w:cs="Arial"/>
          <w:b/>
          <w:sz w:val="22"/>
          <w:szCs w:val="22"/>
          <w:lang w:val="en-GB"/>
        </w:rPr>
      </w:pPr>
    </w:p>
    <w:p w14:paraId="40BD16C4" w14:textId="77777777" w:rsidR="003630AB" w:rsidRDefault="003630AB" w:rsidP="008E24C5">
      <w:pPr>
        <w:jc w:val="center"/>
        <w:rPr>
          <w:rFonts w:ascii="Arial" w:eastAsia="Arial" w:hAnsi="Arial"/>
          <w:b/>
          <w:sz w:val="36"/>
          <w:szCs w:val="40"/>
        </w:rPr>
      </w:pPr>
    </w:p>
    <w:p w14:paraId="15BD709A" w14:textId="77777777" w:rsidR="003630AB" w:rsidRDefault="003630AB" w:rsidP="008E24C5">
      <w:pPr>
        <w:jc w:val="center"/>
        <w:rPr>
          <w:rFonts w:ascii="Arial" w:eastAsia="Arial" w:hAnsi="Arial"/>
          <w:b/>
          <w:sz w:val="36"/>
          <w:szCs w:val="40"/>
        </w:rPr>
      </w:pPr>
    </w:p>
    <w:p w14:paraId="459FEA0F" w14:textId="77777777" w:rsidR="003630AB" w:rsidRDefault="003630AB" w:rsidP="008E24C5">
      <w:pPr>
        <w:jc w:val="center"/>
        <w:rPr>
          <w:rFonts w:ascii="Arial" w:eastAsia="Arial" w:hAnsi="Arial"/>
          <w:b/>
          <w:sz w:val="36"/>
          <w:szCs w:val="40"/>
        </w:rPr>
      </w:pPr>
    </w:p>
    <w:p w14:paraId="7E8C2CB0" w14:textId="77777777" w:rsidR="003630AB" w:rsidRDefault="003630AB" w:rsidP="008E24C5">
      <w:pPr>
        <w:jc w:val="center"/>
        <w:rPr>
          <w:rFonts w:ascii="Arial" w:eastAsia="Arial" w:hAnsi="Arial"/>
          <w:b/>
          <w:sz w:val="36"/>
          <w:szCs w:val="40"/>
        </w:rPr>
      </w:pPr>
    </w:p>
    <w:p w14:paraId="7CF6E526" w14:textId="77777777" w:rsidR="003630AB" w:rsidRDefault="003630AB" w:rsidP="008E24C5">
      <w:pPr>
        <w:jc w:val="center"/>
        <w:rPr>
          <w:rFonts w:ascii="Arial" w:eastAsia="Arial" w:hAnsi="Arial"/>
          <w:b/>
          <w:sz w:val="36"/>
          <w:szCs w:val="40"/>
        </w:rPr>
      </w:pPr>
    </w:p>
    <w:p w14:paraId="77C6EE8B" w14:textId="77777777" w:rsidR="003630AB" w:rsidRDefault="003630AB" w:rsidP="008E24C5">
      <w:pPr>
        <w:jc w:val="center"/>
        <w:rPr>
          <w:rFonts w:ascii="Arial" w:eastAsia="Arial" w:hAnsi="Arial"/>
          <w:b/>
          <w:sz w:val="36"/>
          <w:szCs w:val="40"/>
        </w:rPr>
      </w:pPr>
    </w:p>
    <w:p w14:paraId="72C2D588" w14:textId="77777777" w:rsidR="003630AB" w:rsidRDefault="003630AB" w:rsidP="008E24C5">
      <w:pPr>
        <w:jc w:val="center"/>
        <w:rPr>
          <w:rFonts w:ascii="Arial" w:eastAsia="Arial" w:hAnsi="Arial"/>
          <w:b/>
          <w:sz w:val="36"/>
          <w:szCs w:val="40"/>
        </w:rPr>
      </w:pPr>
    </w:p>
    <w:p w14:paraId="48A543D4" w14:textId="77777777" w:rsidR="003630AB" w:rsidRDefault="003630AB" w:rsidP="008E24C5">
      <w:pPr>
        <w:jc w:val="center"/>
        <w:rPr>
          <w:rFonts w:ascii="Arial" w:eastAsia="Arial" w:hAnsi="Arial"/>
          <w:b/>
          <w:sz w:val="36"/>
          <w:szCs w:val="40"/>
        </w:rPr>
      </w:pPr>
    </w:p>
    <w:p w14:paraId="23F2BA04" w14:textId="77777777" w:rsidR="003630AB" w:rsidRDefault="003630AB" w:rsidP="008E24C5">
      <w:pPr>
        <w:jc w:val="center"/>
        <w:rPr>
          <w:rFonts w:ascii="Arial" w:eastAsia="Arial" w:hAnsi="Arial"/>
          <w:b/>
          <w:sz w:val="36"/>
          <w:szCs w:val="40"/>
        </w:rPr>
      </w:pPr>
    </w:p>
    <w:p w14:paraId="1EA7D620" w14:textId="0727FBC7" w:rsidR="008E24C5" w:rsidRPr="003630AB" w:rsidRDefault="008E24C5" w:rsidP="00BD4E69">
      <w:pPr>
        <w:rPr>
          <w:rFonts w:ascii="Arial" w:hAnsi="Arial" w:cs="Arial"/>
          <w:b/>
          <w:sz w:val="52"/>
          <w:szCs w:val="52"/>
          <w:lang w:val="en-GB"/>
        </w:rPr>
      </w:pPr>
      <w:r w:rsidRPr="003630AB">
        <w:rPr>
          <w:rFonts w:ascii="Arial" w:eastAsia="Arial" w:hAnsi="Arial"/>
          <w:b/>
          <w:sz w:val="52"/>
          <w:szCs w:val="52"/>
        </w:rPr>
        <w:t xml:space="preserve">Treasury Management </w:t>
      </w:r>
      <w:r w:rsidR="00F71592" w:rsidRPr="003630AB">
        <w:rPr>
          <w:rFonts w:ascii="Arial" w:eastAsia="Arial" w:hAnsi="Arial"/>
          <w:b/>
          <w:sz w:val="52"/>
          <w:szCs w:val="52"/>
        </w:rPr>
        <w:t xml:space="preserve">and Ethical Investment </w:t>
      </w:r>
      <w:r w:rsidRPr="003630AB">
        <w:rPr>
          <w:rFonts w:ascii="Arial" w:eastAsia="Arial" w:hAnsi="Arial"/>
          <w:b/>
          <w:sz w:val="52"/>
          <w:szCs w:val="52"/>
        </w:rPr>
        <w:t>Policy</w:t>
      </w:r>
    </w:p>
    <w:p w14:paraId="47EF7753" w14:textId="77777777" w:rsidR="003630AB" w:rsidRPr="003630AB" w:rsidRDefault="003630AB" w:rsidP="005264C6">
      <w:pPr>
        <w:rPr>
          <w:rFonts w:ascii="Arial" w:hAnsi="Arial" w:cs="Arial"/>
          <w:b/>
          <w:sz w:val="52"/>
          <w:szCs w:val="52"/>
          <w:lang w:val="en-GB"/>
        </w:rPr>
      </w:pPr>
    </w:p>
    <w:p w14:paraId="40C1F0D8" w14:textId="77777777" w:rsidR="003630AB" w:rsidRPr="003630AB" w:rsidRDefault="003630AB" w:rsidP="005264C6">
      <w:pPr>
        <w:rPr>
          <w:rFonts w:ascii="Arial" w:hAnsi="Arial" w:cs="Arial"/>
          <w:b/>
          <w:sz w:val="52"/>
          <w:szCs w:val="52"/>
          <w:lang w:val="en-GB"/>
        </w:rPr>
      </w:pPr>
    </w:p>
    <w:p w14:paraId="49341A63" w14:textId="77777777" w:rsidR="003630AB" w:rsidRDefault="003630AB" w:rsidP="005264C6">
      <w:pPr>
        <w:rPr>
          <w:rFonts w:ascii="Arial" w:hAnsi="Arial" w:cs="Arial"/>
          <w:b/>
          <w:sz w:val="22"/>
          <w:szCs w:val="22"/>
          <w:lang w:val="en-GB"/>
        </w:rPr>
      </w:pPr>
    </w:p>
    <w:p w14:paraId="65BC3F9D" w14:textId="77777777" w:rsidR="003630AB" w:rsidRDefault="003630AB" w:rsidP="005264C6">
      <w:pPr>
        <w:rPr>
          <w:rFonts w:ascii="Arial" w:hAnsi="Arial" w:cs="Arial"/>
          <w:b/>
          <w:sz w:val="22"/>
          <w:szCs w:val="22"/>
          <w:lang w:val="en-GB"/>
        </w:rPr>
      </w:pPr>
    </w:p>
    <w:p w14:paraId="3A23B7FA" w14:textId="77777777" w:rsidR="003630AB" w:rsidRDefault="003630AB" w:rsidP="005264C6">
      <w:pPr>
        <w:rPr>
          <w:rFonts w:ascii="Arial" w:hAnsi="Arial" w:cs="Arial"/>
          <w:b/>
          <w:sz w:val="22"/>
          <w:szCs w:val="22"/>
          <w:lang w:val="en-GB"/>
        </w:rPr>
      </w:pPr>
    </w:p>
    <w:p w14:paraId="02FFA93A" w14:textId="77777777" w:rsidR="003630AB" w:rsidRDefault="003630AB" w:rsidP="005264C6">
      <w:pPr>
        <w:rPr>
          <w:rFonts w:ascii="Arial" w:hAnsi="Arial" w:cs="Arial"/>
          <w:b/>
          <w:sz w:val="22"/>
          <w:szCs w:val="22"/>
          <w:lang w:val="en-GB"/>
        </w:rPr>
      </w:pPr>
    </w:p>
    <w:p w14:paraId="4FD57651" w14:textId="77777777" w:rsidR="003630AB" w:rsidRDefault="003630AB" w:rsidP="005264C6">
      <w:pPr>
        <w:rPr>
          <w:rFonts w:ascii="Arial" w:hAnsi="Arial" w:cs="Arial"/>
          <w:b/>
          <w:sz w:val="22"/>
          <w:szCs w:val="22"/>
          <w:lang w:val="en-GB"/>
        </w:rPr>
      </w:pPr>
    </w:p>
    <w:p w14:paraId="7CAC6C20" w14:textId="77777777" w:rsidR="003630AB" w:rsidRDefault="003630AB" w:rsidP="005264C6">
      <w:pPr>
        <w:rPr>
          <w:rFonts w:ascii="Arial" w:hAnsi="Arial" w:cs="Arial"/>
          <w:b/>
          <w:sz w:val="22"/>
          <w:szCs w:val="22"/>
          <w:lang w:val="en-GB"/>
        </w:rPr>
      </w:pPr>
    </w:p>
    <w:p w14:paraId="582CDE66" w14:textId="77777777" w:rsidR="003630AB" w:rsidRDefault="003630AB" w:rsidP="005264C6">
      <w:pPr>
        <w:rPr>
          <w:rFonts w:ascii="Arial" w:hAnsi="Arial" w:cs="Arial"/>
          <w:b/>
          <w:sz w:val="22"/>
          <w:szCs w:val="22"/>
          <w:lang w:val="en-GB"/>
        </w:rPr>
      </w:pPr>
    </w:p>
    <w:p w14:paraId="20C171C7" w14:textId="77777777" w:rsidR="003630AB" w:rsidRDefault="003630AB" w:rsidP="005264C6">
      <w:pPr>
        <w:rPr>
          <w:rFonts w:ascii="Arial" w:hAnsi="Arial" w:cs="Arial"/>
          <w:b/>
          <w:sz w:val="22"/>
          <w:szCs w:val="22"/>
          <w:lang w:val="en-GB"/>
        </w:rPr>
      </w:pPr>
    </w:p>
    <w:p w14:paraId="2183D769" w14:textId="77777777" w:rsidR="003630AB" w:rsidRDefault="003630AB" w:rsidP="005264C6">
      <w:pPr>
        <w:rPr>
          <w:rFonts w:ascii="Arial" w:hAnsi="Arial" w:cs="Arial"/>
          <w:b/>
          <w:sz w:val="22"/>
          <w:szCs w:val="22"/>
          <w:lang w:val="en-GB"/>
        </w:rPr>
      </w:pPr>
    </w:p>
    <w:p w14:paraId="40EED0DC" w14:textId="77777777" w:rsidR="003630AB" w:rsidRDefault="003630AB" w:rsidP="005264C6">
      <w:pPr>
        <w:rPr>
          <w:rFonts w:ascii="Arial" w:hAnsi="Arial" w:cs="Arial"/>
          <w:b/>
          <w:sz w:val="22"/>
          <w:szCs w:val="22"/>
          <w:lang w:val="en-GB"/>
        </w:rPr>
      </w:pPr>
    </w:p>
    <w:p w14:paraId="40EC5E46" w14:textId="77777777" w:rsidR="003630AB" w:rsidRDefault="003630AB" w:rsidP="005264C6">
      <w:pPr>
        <w:rPr>
          <w:rFonts w:ascii="Arial" w:hAnsi="Arial" w:cs="Arial"/>
          <w:b/>
          <w:sz w:val="22"/>
          <w:szCs w:val="22"/>
          <w:lang w:val="en-GB"/>
        </w:rPr>
      </w:pPr>
    </w:p>
    <w:p w14:paraId="2A48B2E1" w14:textId="77777777" w:rsidR="003630AB" w:rsidRDefault="003630AB" w:rsidP="005264C6">
      <w:pPr>
        <w:rPr>
          <w:rFonts w:ascii="Arial" w:hAnsi="Arial" w:cs="Arial"/>
          <w:b/>
          <w:sz w:val="22"/>
          <w:szCs w:val="22"/>
          <w:lang w:val="en-GB"/>
        </w:rPr>
      </w:pPr>
    </w:p>
    <w:p w14:paraId="0E233032" w14:textId="77777777" w:rsidR="003630AB" w:rsidRDefault="003630AB" w:rsidP="005264C6">
      <w:pPr>
        <w:rPr>
          <w:rFonts w:ascii="Arial" w:hAnsi="Arial" w:cs="Arial"/>
          <w:b/>
          <w:sz w:val="22"/>
          <w:szCs w:val="22"/>
          <w:lang w:val="en-GB"/>
        </w:rPr>
      </w:pPr>
    </w:p>
    <w:p w14:paraId="54F74091" w14:textId="77777777" w:rsidR="003630AB" w:rsidRDefault="003630AB" w:rsidP="005264C6">
      <w:pPr>
        <w:rPr>
          <w:rFonts w:ascii="Arial" w:hAnsi="Arial" w:cs="Arial"/>
          <w:b/>
          <w:sz w:val="22"/>
          <w:szCs w:val="22"/>
          <w:lang w:val="en-GB"/>
        </w:rPr>
      </w:pPr>
    </w:p>
    <w:p w14:paraId="1C737650" w14:textId="77777777" w:rsidR="003630AB" w:rsidRDefault="003630AB" w:rsidP="005264C6">
      <w:pPr>
        <w:rPr>
          <w:rFonts w:ascii="Arial" w:hAnsi="Arial" w:cs="Arial"/>
          <w:b/>
          <w:sz w:val="22"/>
          <w:szCs w:val="22"/>
          <w:lang w:val="en-GB"/>
        </w:rPr>
      </w:pPr>
    </w:p>
    <w:p w14:paraId="3DE7BFD2" w14:textId="77777777" w:rsidR="003630AB" w:rsidRDefault="003630AB" w:rsidP="005264C6">
      <w:pPr>
        <w:rPr>
          <w:rFonts w:ascii="Arial" w:hAnsi="Arial" w:cs="Arial"/>
          <w:b/>
          <w:sz w:val="22"/>
          <w:szCs w:val="22"/>
          <w:lang w:val="en-GB"/>
        </w:rPr>
      </w:pPr>
    </w:p>
    <w:p w14:paraId="0A57AF1C" w14:textId="5024D026" w:rsidR="008E24C5" w:rsidRPr="003630AB" w:rsidRDefault="00E56DF0" w:rsidP="07EC1E22">
      <w:pPr>
        <w:rPr>
          <w:rFonts w:ascii="Arial" w:hAnsi="Arial" w:cs="Arial"/>
          <w:sz w:val="22"/>
          <w:szCs w:val="22"/>
          <w:lang w:val="en-GB"/>
        </w:rPr>
      </w:pPr>
      <w:r w:rsidRPr="4F638EB8">
        <w:rPr>
          <w:rFonts w:ascii="Arial" w:hAnsi="Arial" w:cs="Arial"/>
          <w:b/>
          <w:bCs/>
          <w:sz w:val="22"/>
          <w:szCs w:val="22"/>
          <w:lang w:val="en-GB"/>
        </w:rPr>
        <w:t xml:space="preserve">          </w:t>
      </w:r>
      <w:r w:rsidR="35B92540" w:rsidRPr="003630AB">
        <w:rPr>
          <w:rFonts w:ascii="Arial" w:hAnsi="Arial" w:cs="Arial"/>
          <w:sz w:val="22"/>
          <w:szCs w:val="22"/>
          <w:lang w:val="en-GB"/>
        </w:rPr>
        <w:t>Author</w:t>
      </w:r>
      <w:r w:rsidRPr="003630AB">
        <w:tab/>
      </w:r>
      <w:r w:rsidR="220A4273" w:rsidRPr="003630AB">
        <w:rPr>
          <w:rFonts w:ascii="Arial" w:hAnsi="Arial" w:cs="Arial"/>
          <w:sz w:val="22"/>
          <w:szCs w:val="22"/>
          <w:lang w:val="en-GB"/>
        </w:rPr>
        <w:t xml:space="preserve">: </w:t>
      </w:r>
      <w:r w:rsidR="35B92540" w:rsidRPr="003630AB">
        <w:rPr>
          <w:rFonts w:ascii="Arial" w:hAnsi="Arial" w:cs="Arial"/>
          <w:sz w:val="22"/>
          <w:szCs w:val="22"/>
          <w:lang w:val="en-GB"/>
        </w:rPr>
        <w:t>Chief Operating Officer</w:t>
      </w:r>
      <w:r w:rsidRPr="003630AB">
        <w:rPr>
          <w:rFonts w:ascii="Arial" w:hAnsi="Arial" w:cs="Arial"/>
          <w:sz w:val="22"/>
          <w:szCs w:val="22"/>
          <w:lang w:val="en-GB"/>
        </w:rPr>
        <w:t xml:space="preserve">       </w:t>
      </w:r>
    </w:p>
    <w:p w14:paraId="3D62EF26" w14:textId="33612B0F" w:rsidR="4F638EB8" w:rsidRPr="003630AB" w:rsidRDefault="4F638EB8" w:rsidP="4F638EB8">
      <w:pPr>
        <w:rPr>
          <w:rFonts w:ascii="Arial" w:hAnsi="Arial" w:cs="Arial"/>
          <w:sz w:val="22"/>
          <w:szCs w:val="22"/>
          <w:lang w:val="en-GB"/>
        </w:rPr>
      </w:pPr>
    </w:p>
    <w:p w14:paraId="613C1636" w14:textId="538D6EAC" w:rsidR="008E24C5" w:rsidRPr="003630AB" w:rsidRDefault="3A5994D3" w:rsidP="499DBC63">
      <w:pPr>
        <w:rPr>
          <w:rFonts w:ascii="Arial" w:hAnsi="Arial" w:cs="Arial"/>
          <w:sz w:val="22"/>
          <w:szCs w:val="22"/>
          <w:lang w:val="en-GB"/>
        </w:rPr>
      </w:pPr>
      <w:r w:rsidRPr="003630AB">
        <w:rPr>
          <w:rFonts w:ascii="Arial" w:hAnsi="Arial" w:cs="Arial"/>
          <w:sz w:val="22"/>
          <w:szCs w:val="22"/>
          <w:lang w:val="en-GB"/>
        </w:rPr>
        <w:t xml:space="preserve">         </w:t>
      </w:r>
      <w:r w:rsidR="003630AB" w:rsidRPr="003630AB">
        <w:rPr>
          <w:rFonts w:ascii="Arial" w:hAnsi="Arial" w:cs="Arial"/>
          <w:sz w:val="22"/>
          <w:szCs w:val="22"/>
          <w:lang w:val="en-GB"/>
        </w:rPr>
        <w:t xml:space="preserve">Approval </w:t>
      </w:r>
      <w:r w:rsidR="003630AB">
        <w:rPr>
          <w:rFonts w:ascii="Arial" w:hAnsi="Arial" w:cs="Arial"/>
          <w:sz w:val="22"/>
          <w:szCs w:val="22"/>
          <w:lang w:val="en-GB"/>
        </w:rPr>
        <w:t xml:space="preserve">on: </w:t>
      </w:r>
      <w:r w:rsidR="003630AB" w:rsidRPr="003630AB">
        <w:rPr>
          <w:rFonts w:ascii="Arial" w:hAnsi="Arial" w:cs="Arial"/>
          <w:sz w:val="22"/>
          <w:szCs w:val="22"/>
          <w:lang w:val="en-GB"/>
        </w:rPr>
        <w:t xml:space="preserve">6 </w:t>
      </w:r>
      <w:r w:rsidR="005C1516" w:rsidRPr="003630AB">
        <w:rPr>
          <w:rFonts w:ascii="Arial" w:hAnsi="Arial" w:cs="Arial"/>
          <w:sz w:val="22"/>
          <w:szCs w:val="22"/>
          <w:lang w:val="en-GB"/>
        </w:rPr>
        <w:t>March</w:t>
      </w:r>
      <w:r w:rsidR="001B4FB0" w:rsidRPr="003630AB">
        <w:rPr>
          <w:rFonts w:ascii="Arial" w:hAnsi="Arial" w:cs="Arial"/>
          <w:sz w:val="22"/>
          <w:szCs w:val="22"/>
          <w:lang w:val="en-GB"/>
        </w:rPr>
        <w:t xml:space="preserve"> 202</w:t>
      </w:r>
      <w:r w:rsidR="005C1516" w:rsidRPr="003630AB">
        <w:rPr>
          <w:rFonts w:ascii="Arial" w:hAnsi="Arial" w:cs="Arial"/>
          <w:sz w:val="22"/>
          <w:szCs w:val="22"/>
          <w:lang w:val="en-GB"/>
        </w:rPr>
        <w:t>5</w:t>
      </w:r>
    </w:p>
    <w:p w14:paraId="5C017B7E" w14:textId="77777777" w:rsidR="003630AB" w:rsidRPr="003630AB" w:rsidRDefault="003630AB" w:rsidP="003630AB">
      <w:pPr>
        <w:rPr>
          <w:rFonts w:ascii="Arial" w:hAnsi="Arial" w:cs="Arial"/>
          <w:sz w:val="22"/>
          <w:szCs w:val="22"/>
          <w:lang w:val="en-GB"/>
        </w:rPr>
      </w:pPr>
      <w:r w:rsidRPr="003630AB">
        <w:rPr>
          <w:rFonts w:ascii="Arial" w:hAnsi="Arial" w:cs="Arial"/>
          <w:sz w:val="22"/>
          <w:szCs w:val="22"/>
          <w:lang w:val="en-GB"/>
        </w:rPr>
        <w:t xml:space="preserve">         </w:t>
      </w:r>
    </w:p>
    <w:p w14:paraId="1063564C" w14:textId="147D6746" w:rsidR="003630AB" w:rsidRPr="003630AB" w:rsidRDefault="003630AB" w:rsidP="003630AB">
      <w:pPr>
        <w:rPr>
          <w:rFonts w:ascii="Arial" w:hAnsi="Arial" w:cs="Arial"/>
          <w:sz w:val="22"/>
          <w:szCs w:val="22"/>
          <w:lang w:val="en-GB"/>
        </w:rPr>
      </w:pPr>
      <w:r w:rsidRPr="003630AB">
        <w:rPr>
          <w:rFonts w:ascii="Arial" w:hAnsi="Arial" w:cs="Arial"/>
          <w:sz w:val="22"/>
          <w:szCs w:val="22"/>
          <w:lang w:val="en-GB"/>
        </w:rPr>
        <w:t xml:space="preserve">         Approved by: People, Finance and Resources Committee</w:t>
      </w:r>
    </w:p>
    <w:p w14:paraId="0C1BEC45" w14:textId="77777777" w:rsidR="001B4FB0" w:rsidRPr="003630AB" w:rsidRDefault="001B4FB0" w:rsidP="005264C6">
      <w:pPr>
        <w:rPr>
          <w:rFonts w:ascii="Arial" w:hAnsi="Arial" w:cs="Arial"/>
          <w:sz w:val="22"/>
          <w:szCs w:val="22"/>
          <w:lang w:val="en-GB"/>
        </w:rPr>
      </w:pPr>
    </w:p>
    <w:p w14:paraId="3708C10C" w14:textId="6A95A9EC" w:rsidR="001B4FB0" w:rsidRPr="003630AB" w:rsidRDefault="001B4FB0" w:rsidP="005264C6">
      <w:pPr>
        <w:rPr>
          <w:rFonts w:ascii="Arial" w:hAnsi="Arial" w:cs="Arial"/>
          <w:sz w:val="22"/>
          <w:szCs w:val="22"/>
          <w:lang w:val="en-GB"/>
        </w:rPr>
      </w:pPr>
      <w:r w:rsidRPr="003630AB">
        <w:rPr>
          <w:rFonts w:ascii="Arial" w:hAnsi="Arial" w:cs="Arial"/>
          <w:sz w:val="22"/>
          <w:szCs w:val="22"/>
          <w:lang w:val="en-GB"/>
        </w:rPr>
        <w:t xml:space="preserve">         Version</w:t>
      </w:r>
      <w:r w:rsidRPr="003630AB">
        <w:tab/>
      </w:r>
      <w:r w:rsidR="0475C1FA" w:rsidRPr="003630AB">
        <w:rPr>
          <w:rFonts w:ascii="Arial" w:hAnsi="Arial" w:cs="Arial"/>
          <w:sz w:val="22"/>
          <w:szCs w:val="22"/>
          <w:lang w:val="en-GB"/>
        </w:rPr>
        <w:t>:</w:t>
      </w:r>
      <w:r w:rsidRPr="003630AB">
        <w:rPr>
          <w:rFonts w:ascii="Arial" w:hAnsi="Arial" w:cs="Arial"/>
          <w:sz w:val="22"/>
          <w:szCs w:val="22"/>
          <w:lang w:val="en-GB"/>
        </w:rPr>
        <w:t xml:space="preserve"> </w:t>
      </w:r>
      <w:r w:rsidR="005C1516" w:rsidRPr="003630AB">
        <w:rPr>
          <w:rFonts w:ascii="Arial" w:hAnsi="Arial" w:cs="Arial"/>
          <w:sz w:val="22"/>
          <w:szCs w:val="22"/>
          <w:lang w:val="en-GB"/>
        </w:rPr>
        <w:t>4</w:t>
      </w:r>
    </w:p>
    <w:p w14:paraId="0C867236" w14:textId="77777777" w:rsidR="008E24C5" w:rsidRDefault="008E24C5" w:rsidP="005264C6">
      <w:pPr>
        <w:rPr>
          <w:rFonts w:ascii="Arial" w:hAnsi="Arial" w:cs="Arial"/>
          <w:b/>
          <w:sz w:val="22"/>
          <w:szCs w:val="22"/>
          <w:lang w:val="en-GB"/>
        </w:rPr>
      </w:pPr>
    </w:p>
    <w:p w14:paraId="47AD7A8E" w14:textId="77777777" w:rsidR="003630AB" w:rsidRDefault="003630AB" w:rsidP="005264C6">
      <w:pPr>
        <w:rPr>
          <w:rFonts w:ascii="Arial" w:hAnsi="Arial" w:cs="Arial"/>
          <w:b/>
          <w:sz w:val="22"/>
          <w:szCs w:val="22"/>
          <w:lang w:val="en-GB"/>
        </w:rPr>
      </w:pPr>
    </w:p>
    <w:p w14:paraId="2F60E579" w14:textId="77777777" w:rsidR="008E24C5" w:rsidRDefault="008E24C5" w:rsidP="005264C6">
      <w:pPr>
        <w:rPr>
          <w:rFonts w:ascii="Arial" w:hAnsi="Arial" w:cs="Arial"/>
          <w:b/>
          <w:sz w:val="22"/>
          <w:szCs w:val="22"/>
          <w:lang w:val="en-GB"/>
        </w:rPr>
      </w:pPr>
    </w:p>
    <w:p w14:paraId="1AD71411" w14:textId="1CD841CC" w:rsidR="002555FA" w:rsidRPr="004261CD" w:rsidRDefault="002555FA" w:rsidP="005264C6">
      <w:pPr>
        <w:rPr>
          <w:rFonts w:ascii="Arial" w:hAnsi="Arial" w:cs="Arial"/>
          <w:b/>
          <w:sz w:val="22"/>
          <w:szCs w:val="22"/>
          <w:lang w:val="en-GB"/>
        </w:rPr>
      </w:pPr>
      <w:r w:rsidRPr="004261CD">
        <w:rPr>
          <w:rFonts w:ascii="Arial" w:hAnsi="Arial" w:cs="Arial"/>
          <w:b/>
          <w:sz w:val="22"/>
          <w:szCs w:val="22"/>
          <w:lang w:val="en-GB"/>
        </w:rPr>
        <w:t>Contents Page</w:t>
      </w:r>
    </w:p>
    <w:p w14:paraId="1D6DCA69" w14:textId="6333927E" w:rsidR="005264C6" w:rsidRPr="004261CD" w:rsidRDefault="005264C6" w:rsidP="002555FA">
      <w:pPr>
        <w:rPr>
          <w:rFonts w:ascii="Arial" w:hAnsi="Arial" w:cs="Arial"/>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7127"/>
        <w:gridCol w:w="1282"/>
      </w:tblGrid>
      <w:tr w:rsidR="008E7181" w:rsidRPr="004261CD" w14:paraId="541FA6FB" w14:textId="77777777" w:rsidTr="00B16A15">
        <w:trPr>
          <w:trHeight w:val="291"/>
        </w:trPr>
        <w:tc>
          <w:tcPr>
            <w:tcW w:w="765" w:type="dxa"/>
            <w:noWrap/>
            <w:hideMark/>
          </w:tcPr>
          <w:p w14:paraId="03F8BC47" w14:textId="77777777" w:rsidR="008E7181" w:rsidRPr="004261CD" w:rsidRDefault="008E7181">
            <w:pPr>
              <w:spacing w:after="160" w:line="259" w:lineRule="auto"/>
              <w:rPr>
                <w:rFonts w:ascii="Arial" w:hAnsi="Arial" w:cs="Arial"/>
                <w:noProof/>
                <w:sz w:val="22"/>
                <w:lang w:val="en-GB"/>
              </w:rPr>
            </w:pPr>
          </w:p>
        </w:tc>
        <w:tc>
          <w:tcPr>
            <w:tcW w:w="7127" w:type="dxa"/>
            <w:noWrap/>
            <w:hideMark/>
          </w:tcPr>
          <w:p w14:paraId="785BA1FE" w14:textId="77777777" w:rsidR="008E7181" w:rsidRPr="004261CD" w:rsidRDefault="008E7181">
            <w:pPr>
              <w:spacing w:after="160" w:line="259" w:lineRule="auto"/>
              <w:rPr>
                <w:rFonts w:ascii="Arial" w:hAnsi="Arial" w:cs="Arial"/>
                <w:noProof/>
                <w:sz w:val="22"/>
                <w:lang w:val="en-GB"/>
              </w:rPr>
            </w:pPr>
          </w:p>
        </w:tc>
        <w:tc>
          <w:tcPr>
            <w:tcW w:w="1282" w:type="dxa"/>
            <w:noWrap/>
            <w:hideMark/>
          </w:tcPr>
          <w:p w14:paraId="6E6281EF" w14:textId="77777777" w:rsidR="008E7181" w:rsidRPr="004261CD" w:rsidRDefault="008E7181">
            <w:pPr>
              <w:spacing w:after="160" w:line="259" w:lineRule="auto"/>
              <w:rPr>
                <w:rFonts w:ascii="Arial" w:hAnsi="Arial" w:cs="Arial"/>
                <w:noProof/>
                <w:sz w:val="22"/>
                <w:lang w:val="en-GB"/>
              </w:rPr>
            </w:pPr>
          </w:p>
        </w:tc>
      </w:tr>
      <w:tr w:rsidR="008E7181" w:rsidRPr="004261CD" w14:paraId="0DD36EEF" w14:textId="77777777" w:rsidTr="00B16A15">
        <w:trPr>
          <w:trHeight w:val="291"/>
        </w:trPr>
        <w:tc>
          <w:tcPr>
            <w:tcW w:w="765" w:type="dxa"/>
            <w:noWrap/>
            <w:hideMark/>
          </w:tcPr>
          <w:p w14:paraId="5D55E072" w14:textId="77777777" w:rsidR="008E7181" w:rsidRPr="004261CD" w:rsidRDefault="008E7181">
            <w:pPr>
              <w:spacing w:after="160" w:line="259" w:lineRule="auto"/>
              <w:rPr>
                <w:rFonts w:ascii="Arial" w:hAnsi="Arial" w:cs="Arial"/>
                <w:b/>
                <w:bCs/>
                <w:noProof/>
                <w:sz w:val="22"/>
                <w:lang w:val="en-GB"/>
              </w:rPr>
            </w:pPr>
            <w:r w:rsidRPr="004261CD">
              <w:rPr>
                <w:rFonts w:ascii="Arial" w:hAnsi="Arial" w:cs="Arial"/>
                <w:b/>
                <w:bCs/>
                <w:noProof/>
                <w:sz w:val="22"/>
                <w:lang w:val="en-GB"/>
              </w:rPr>
              <w:t>1</w:t>
            </w:r>
          </w:p>
        </w:tc>
        <w:tc>
          <w:tcPr>
            <w:tcW w:w="7127" w:type="dxa"/>
            <w:noWrap/>
            <w:hideMark/>
          </w:tcPr>
          <w:p w14:paraId="42905985" w14:textId="65FC7008" w:rsidR="008E7181" w:rsidRPr="004261CD" w:rsidRDefault="00F77A5A">
            <w:pPr>
              <w:spacing w:after="160" w:line="259" w:lineRule="auto"/>
              <w:rPr>
                <w:rFonts w:ascii="Arial" w:hAnsi="Arial" w:cs="Arial"/>
                <w:noProof/>
                <w:sz w:val="22"/>
                <w:lang w:val="en-GB"/>
              </w:rPr>
            </w:pPr>
            <w:r>
              <w:rPr>
                <w:rFonts w:ascii="Arial" w:hAnsi="Arial" w:cs="Arial"/>
                <w:noProof/>
                <w:sz w:val="22"/>
                <w:lang w:val="en-GB"/>
              </w:rPr>
              <w:t>Introduction</w:t>
            </w:r>
          </w:p>
        </w:tc>
        <w:tc>
          <w:tcPr>
            <w:tcW w:w="1282" w:type="dxa"/>
            <w:noWrap/>
            <w:hideMark/>
          </w:tcPr>
          <w:p w14:paraId="36C71092" w14:textId="5CCC80F7"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8E24C5">
              <w:rPr>
                <w:rFonts w:ascii="Arial" w:hAnsi="Arial" w:cs="Arial"/>
                <w:noProof/>
                <w:sz w:val="22"/>
                <w:lang w:val="en-GB"/>
              </w:rPr>
              <w:t>2</w:t>
            </w:r>
          </w:p>
        </w:tc>
      </w:tr>
      <w:tr w:rsidR="008E7181" w:rsidRPr="004261CD" w14:paraId="432F81C2" w14:textId="77777777" w:rsidTr="00B16A15">
        <w:trPr>
          <w:trHeight w:val="291"/>
        </w:trPr>
        <w:tc>
          <w:tcPr>
            <w:tcW w:w="765" w:type="dxa"/>
            <w:noWrap/>
            <w:hideMark/>
          </w:tcPr>
          <w:p w14:paraId="03537BA7" w14:textId="77777777" w:rsidR="008E7181" w:rsidRPr="004261CD" w:rsidRDefault="008E7181">
            <w:pPr>
              <w:spacing w:after="160" w:line="259" w:lineRule="auto"/>
              <w:rPr>
                <w:rFonts w:ascii="Arial" w:hAnsi="Arial" w:cs="Arial"/>
                <w:b/>
                <w:bCs/>
                <w:noProof/>
                <w:sz w:val="22"/>
                <w:lang w:val="en-GB"/>
              </w:rPr>
            </w:pPr>
            <w:r w:rsidRPr="004261CD">
              <w:rPr>
                <w:rFonts w:ascii="Arial" w:hAnsi="Arial" w:cs="Arial"/>
                <w:b/>
                <w:bCs/>
                <w:noProof/>
                <w:sz w:val="22"/>
                <w:lang w:val="en-GB"/>
              </w:rPr>
              <w:t>2</w:t>
            </w:r>
          </w:p>
        </w:tc>
        <w:tc>
          <w:tcPr>
            <w:tcW w:w="7127" w:type="dxa"/>
            <w:noWrap/>
            <w:hideMark/>
          </w:tcPr>
          <w:p w14:paraId="34BB6B51" w14:textId="148AE98A"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Cash Management  </w:t>
            </w:r>
          </w:p>
        </w:tc>
        <w:tc>
          <w:tcPr>
            <w:tcW w:w="1282" w:type="dxa"/>
            <w:noWrap/>
            <w:hideMark/>
          </w:tcPr>
          <w:p w14:paraId="1510DE5E" w14:textId="3991A20C"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8E24C5">
              <w:rPr>
                <w:rFonts w:ascii="Arial" w:hAnsi="Arial" w:cs="Arial"/>
                <w:noProof/>
                <w:sz w:val="22"/>
                <w:lang w:val="en-GB"/>
              </w:rPr>
              <w:t>3</w:t>
            </w:r>
          </w:p>
        </w:tc>
      </w:tr>
      <w:tr w:rsidR="008E7181" w:rsidRPr="004261CD" w14:paraId="1803679F" w14:textId="77777777" w:rsidTr="00B16A15">
        <w:trPr>
          <w:trHeight w:val="291"/>
        </w:trPr>
        <w:tc>
          <w:tcPr>
            <w:tcW w:w="765" w:type="dxa"/>
            <w:noWrap/>
            <w:hideMark/>
          </w:tcPr>
          <w:p w14:paraId="1091BF81" w14:textId="77777777" w:rsidR="008E7181" w:rsidRPr="004261CD" w:rsidRDefault="008E7181">
            <w:pPr>
              <w:spacing w:after="160" w:line="259" w:lineRule="auto"/>
              <w:rPr>
                <w:rFonts w:ascii="Arial" w:hAnsi="Arial" w:cs="Arial"/>
                <w:b/>
                <w:bCs/>
                <w:noProof/>
                <w:sz w:val="22"/>
                <w:lang w:val="en-GB"/>
              </w:rPr>
            </w:pPr>
            <w:r w:rsidRPr="004261CD">
              <w:rPr>
                <w:rFonts w:ascii="Arial" w:hAnsi="Arial" w:cs="Arial"/>
                <w:b/>
                <w:bCs/>
                <w:noProof/>
                <w:sz w:val="22"/>
                <w:lang w:val="en-GB"/>
              </w:rPr>
              <w:t>3</w:t>
            </w:r>
          </w:p>
        </w:tc>
        <w:tc>
          <w:tcPr>
            <w:tcW w:w="7127" w:type="dxa"/>
            <w:noWrap/>
            <w:hideMark/>
          </w:tcPr>
          <w:p w14:paraId="426C6B0A" w14:textId="59003D6A"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Management of Risk</w:t>
            </w:r>
          </w:p>
        </w:tc>
        <w:tc>
          <w:tcPr>
            <w:tcW w:w="1282" w:type="dxa"/>
            <w:noWrap/>
            <w:hideMark/>
          </w:tcPr>
          <w:p w14:paraId="54533ACB" w14:textId="336FC584"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8E24C5">
              <w:rPr>
                <w:rFonts w:ascii="Arial" w:hAnsi="Arial" w:cs="Arial"/>
                <w:noProof/>
                <w:sz w:val="22"/>
                <w:lang w:val="en-GB"/>
              </w:rPr>
              <w:t>3</w:t>
            </w:r>
          </w:p>
        </w:tc>
      </w:tr>
      <w:tr w:rsidR="008E7181" w:rsidRPr="004261CD" w14:paraId="303620DA" w14:textId="77777777" w:rsidTr="00B16A15">
        <w:trPr>
          <w:trHeight w:val="291"/>
        </w:trPr>
        <w:tc>
          <w:tcPr>
            <w:tcW w:w="765" w:type="dxa"/>
            <w:noWrap/>
            <w:hideMark/>
          </w:tcPr>
          <w:p w14:paraId="55AB0B7D" w14:textId="77777777" w:rsidR="008E7181" w:rsidRPr="004261CD" w:rsidRDefault="008E7181">
            <w:pPr>
              <w:spacing w:after="160" w:line="259" w:lineRule="auto"/>
              <w:rPr>
                <w:rFonts w:ascii="Arial" w:hAnsi="Arial" w:cs="Arial"/>
                <w:b/>
                <w:bCs/>
                <w:noProof/>
                <w:sz w:val="22"/>
                <w:lang w:val="en-GB"/>
              </w:rPr>
            </w:pPr>
            <w:r w:rsidRPr="004261CD">
              <w:rPr>
                <w:rFonts w:ascii="Arial" w:hAnsi="Arial" w:cs="Arial"/>
                <w:b/>
                <w:bCs/>
                <w:noProof/>
                <w:sz w:val="22"/>
                <w:lang w:val="en-GB"/>
              </w:rPr>
              <w:t>4</w:t>
            </w:r>
          </w:p>
        </w:tc>
        <w:tc>
          <w:tcPr>
            <w:tcW w:w="7127" w:type="dxa"/>
            <w:noWrap/>
            <w:hideMark/>
          </w:tcPr>
          <w:p w14:paraId="1DE49440" w14:textId="31983466"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Arrangement for Investment of Funds </w:t>
            </w:r>
          </w:p>
        </w:tc>
        <w:tc>
          <w:tcPr>
            <w:tcW w:w="1282" w:type="dxa"/>
            <w:noWrap/>
            <w:hideMark/>
          </w:tcPr>
          <w:p w14:paraId="6B80331F" w14:textId="75E003EF" w:rsidR="008E7181" w:rsidRPr="004261CD" w:rsidRDefault="008E7181" w:rsidP="008E24C5">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8E24C5">
              <w:rPr>
                <w:rFonts w:ascii="Arial" w:hAnsi="Arial" w:cs="Arial"/>
                <w:noProof/>
                <w:sz w:val="22"/>
                <w:lang w:val="en-GB"/>
              </w:rPr>
              <w:t>4</w:t>
            </w:r>
          </w:p>
        </w:tc>
      </w:tr>
      <w:tr w:rsidR="008E7181" w:rsidRPr="004261CD" w14:paraId="377016A8" w14:textId="77777777" w:rsidTr="00B16A15">
        <w:trPr>
          <w:trHeight w:val="291"/>
        </w:trPr>
        <w:tc>
          <w:tcPr>
            <w:tcW w:w="765" w:type="dxa"/>
            <w:noWrap/>
            <w:hideMark/>
          </w:tcPr>
          <w:p w14:paraId="279716F3" w14:textId="77777777" w:rsidR="008E7181" w:rsidRPr="004261CD" w:rsidRDefault="008E7181">
            <w:pPr>
              <w:spacing w:after="160" w:line="259" w:lineRule="auto"/>
              <w:rPr>
                <w:rFonts w:ascii="Arial" w:hAnsi="Arial" w:cs="Arial"/>
                <w:b/>
                <w:bCs/>
                <w:noProof/>
                <w:sz w:val="22"/>
                <w:lang w:val="en-GB"/>
              </w:rPr>
            </w:pPr>
            <w:r w:rsidRPr="004261CD">
              <w:rPr>
                <w:rFonts w:ascii="Arial" w:hAnsi="Arial" w:cs="Arial"/>
                <w:b/>
                <w:bCs/>
                <w:noProof/>
                <w:sz w:val="22"/>
                <w:lang w:val="en-GB"/>
              </w:rPr>
              <w:t>5</w:t>
            </w:r>
          </w:p>
        </w:tc>
        <w:tc>
          <w:tcPr>
            <w:tcW w:w="7127" w:type="dxa"/>
            <w:noWrap/>
            <w:hideMark/>
          </w:tcPr>
          <w:p w14:paraId="6A583441" w14:textId="6E97112B"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Asset Allocation</w:t>
            </w:r>
          </w:p>
        </w:tc>
        <w:tc>
          <w:tcPr>
            <w:tcW w:w="1282" w:type="dxa"/>
            <w:noWrap/>
            <w:hideMark/>
          </w:tcPr>
          <w:p w14:paraId="54D9827F" w14:textId="632ED139"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8E24C5">
              <w:rPr>
                <w:rFonts w:ascii="Arial" w:hAnsi="Arial" w:cs="Arial"/>
                <w:noProof/>
                <w:sz w:val="22"/>
                <w:lang w:val="en-GB"/>
              </w:rPr>
              <w:t>4</w:t>
            </w:r>
          </w:p>
        </w:tc>
      </w:tr>
      <w:tr w:rsidR="008E7181" w:rsidRPr="004261CD" w14:paraId="144D8BC7" w14:textId="77777777" w:rsidTr="00B16A15">
        <w:trPr>
          <w:trHeight w:val="291"/>
        </w:trPr>
        <w:tc>
          <w:tcPr>
            <w:tcW w:w="765" w:type="dxa"/>
            <w:noWrap/>
            <w:hideMark/>
          </w:tcPr>
          <w:p w14:paraId="6E40E517" w14:textId="3AB8CB2E" w:rsidR="008E7181" w:rsidRPr="004261CD" w:rsidRDefault="00F71592">
            <w:pPr>
              <w:spacing w:after="160" w:line="259" w:lineRule="auto"/>
              <w:rPr>
                <w:rFonts w:ascii="Arial" w:hAnsi="Arial" w:cs="Arial"/>
                <w:b/>
                <w:bCs/>
                <w:noProof/>
                <w:sz w:val="22"/>
                <w:lang w:val="en-GB"/>
              </w:rPr>
            </w:pPr>
            <w:r>
              <w:rPr>
                <w:rFonts w:ascii="Arial" w:hAnsi="Arial" w:cs="Arial"/>
                <w:b/>
                <w:bCs/>
                <w:noProof/>
                <w:sz w:val="22"/>
                <w:lang w:val="en-GB"/>
              </w:rPr>
              <w:t>6</w:t>
            </w:r>
          </w:p>
        </w:tc>
        <w:tc>
          <w:tcPr>
            <w:tcW w:w="7127" w:type="dxa"/>
            <w:noWrap/>
            <w:hideMark/>
          </w:tcPr>
          <w:p w14:paraId="4F3D0423" w14:textId="2DD43F0C" w:rsidR="008E7181" w:rsidRPr="004261CD" w:rsidRDefault="00F71592" w:rsidP="00B16A15">
            <w:pPr>
              <w:tabs>
                <w:tab w:val="left" w:pos="993"/>
              </w:tabs>
              <w:rPr>
                <w:rFonts w:ascii="Arial" w:hAnsi="Arial" w:cs="Arial"/>
                <w:bCs/>
                <w:sz w:val="22"/>
                <w:szCs w:val="22"/>
                <w:lang w:val="en-GB"/>
              </w:rPr>
            </w:pPr>
            <w:r>
              <w:rPr>
                <w:rFonts w:ascii="Arial" w:hAnsi="Arial" w:cs="Arial"/>
                <w:bCs/>
                <w:sz w:val="22"/>
                <w:szCs w:val="22"/>
                <w:lang w:val="en-GB"/>
              </w:rPr>
              <w:t>Ethical</w:t>
            </w:r>
            <w:r w:rsidR="008E7181" w:rsidRPr="004261CD">
              <w:rPr>
                <w:rFonts w:ascii="Arial" w:hAnsi="Arial" w:cs="Arial"/>
                <w:bCs/>
                <w:sz w:val="22"/>
                <w:szCs w:val="22"/>
                <w:lang w:val="en-GB"/>
              </w:rPr>
              <w:t xml:space="preserve"> Investment Policy</w:t>
            </w:r>
          </w:p>
          <w:p w14:paraId="346BA986" w14:textId="77777777" w:rsidR="008E7181" w:rsidRPr="004261CD" w:rsidRDefault="008E7181">
            <w:pPr>
              <w:spacing w:after="160" w:line="259" w:lineRule="auto"/>
              <w:rPr>
                <w:rFonts w:ascii="Arial" w:hAnsi="Arial" w:cs="Arial"/>
                <w:bCs/>
                <w:noProof/>
                <w:sz w:val="22"/>
                <w:lang w:val="en-GB"/>
              </w:rPr>
            </w:pPr>
          </w:p>
        </w:tc>
        <w:tc>
          <w:tcPr>
            <w:tcW w:w="1282" w:type="dxa"/>
            <w:noWrap/>
            <w:hideMark/>
          </w:tcPr>
          <w:p w14:paraId="215350C0" w14:textId="42838647"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F71592">
              <w:rPr>
                <w:rFonts w:ascii="Arial" w:hAnsi="Arial" w:cs="Arial"/>
                <w:noProof/>
                <w:sz w:val="22"/>
                <w:lang w:val="en-GB"/>
              </w:rPr>
              <w:t>6</w:t>
            </w:r>
          </w:p>
        </w:tc>
      </w:tr>
      <w:tr w:rsidR="004A2AE0" w:rsidRPr="004261CD" w14:paraId="61DCC22B" w14:textId="77777777" w:rsidTr="004A2AE0">
        <w:trPr>
          <w:trHeight w:val="291"/>
        </w:trPr>
        <w:tc>
          <w:tcPr>
            <w:tcW w:w="765" w:type="dxa"/>
            <w:noWrap/>
          </w:tcPr>
          <w:p w14:paraId="77631DA3" w14:textId="5F4A06F1" w:rsidR="004A2AE0" w:rsidRPr="004261CD" w:rsidRDefault="00F71592">
            <w:pPr>
              <w:spacing w:after="160" w:line="259" w:lineRule="auto"/>
              <w:rPr>
                <w:rFonts w:ascii="Arial" w:hAnsi="Arial" w:cs="Arial"/>
                <w:b/>
                <w:bCs/>
                <w:noProof/>
                <w:sz w:val="22"/>
                <w:lang w:val="en-GB"/>
              </w:rPr>
            </w:pPr>
            <w:r>
              <w:rPr>
                <w:rFonts w:ascii="Arial" w:hAnsi="Arial" w:cs="Arial"/>
                <w:b/>
                <w:bCs/>
                <w:noProof/>
                <w:sz w:val="22"/>
                <w:lang w:val="en-GB"/>
              </w:rPr>
              <w:t>7</w:t>
            </w:r>
          </w:p>
        </w:tc>
        <w:tc>
          <w:tcPr>
            <w:tcW w:w="7127" w:type="dxa"/>
            <w:noWrap/>
          </w:tcPr>
          <w:p w14:paraId="3074EC74" w14:textId="6192F304" w:rsidR="004A2AE0" w:rsidRPr="004261CD" w:rsidRDefault="004A2AE0" w:rsidP="008E7181">
            <w:pPr>
              <w:tabs>
                <w:tab w:val="left" w:pos="993"/>
              </w:tabs>
              <w:rPr>
                <w:rFonts w:ascii="Arial" w:hAnsi="Arial" w:cs="Arial"/>
                <w:bCs/>
                <w:sz w:val="22"/>
                <w:szCs w:val="22"/>
                <w:lang w:val="en-GB"/>
              </w:rPr>
            </w:pPr>
            <w:r w:rsidRPr="004261CD">
              <w:rPr>
                <w:rFonts w:ascii="Arial" w:hAnsi="Arial" w:cs="Arial"/>
                <w:bCs/>
                <w:sz w:val="22"/>
                <w:szCs w:val="22"/>
                <w:lang w:val="en-GB"/>
              </w:rPr>
              <w:t>Borrowing</w:t>
            </w:r>
          </w:p>
        </w:tc>
        <w:tc>
          <w:tcPr>
            <w:tcW w:w="1282" w:type="dxa"/>
            <w:noWrap/>
          </w:tcPr>
          <w:p w14:paraId="109FE9E5" w14:textId="56500FD9" w:rsidR="004A2AE0" w:rsidRPr="004261CD" w:rsidRDefault="004A2AE0">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F71592">
              <w:rPr>
                <w:rFonts w:ascii="Arial" w:hAnsi="Arial" w:cs="Arial"/>
                <w:noProof/>
                <w:sz w:val="22"/>
                <w:lang w:val="en-GB"/>
              </w:rPr>
              <w:t>7</w:t>
            </w:r>
          </w:p>
        </w:tc>
      </w:tr>
      <w:tr w:rsidR="008E7181" w:rsidRPr="004261CD" w14:paraId="7B772776" w14:textId="77777777" w:rsidTr="00B16A15">
        <w:trPr>
          <w:trHeight w:val="291"/>
        </w:trPr>
        <w:tc>
          <w:tcPr>
            <w:tcW w:w="765" w:type="dxa"/>
            <w:noWrap/>
            <w:hideMark/>
          </w:tcPr>
          <w:p w14:paraId="250BF795" w14:textId="357A9834" w:rsidR="008E7181" w:rsidRPr="004261CD" w:rsidRDefault="00F71592">
            <w:pPr>
              <w:spacing w:after="160" w:line="259" w:lineRule="auto"/>
              <w:rPr>
                <w:rFonts w:ascii="Arial" w:hAnsi="Arial" w:cs="Arial"/>
                <w:b/>
                <w:bCs/>
                <w:noProof/>
                <w:sz w:val="22"/>
                <w:lang w:val="en-GB"/>
              </w:rPr>
            </w:pPr>
            <w:r>
              <w:rPr>
                <w:rFonts w:ascii="Arial" w:hAnsi="Arial" w:cs="Arial"/>
                <w:b/>
                <w:bCs/>
                <w:noProof/>
                <w:sz w:val="22"/>
                <w:lang w:val="en-GB"/>
              </w:rPr>
              <w:t>8</w:t>
            </w:r>
          </w:p>
          <w:p w14:paraId="7DF80357" w14:textId="76916964" w:rsidR="008E7181" w:rsidRPr="004261CD" w:rsidRDefault="008E7181">
            <w:pPr>
              <w:spacing w:after="160" w:line="259" w:lineRule="auto"/>
              <w:rPr>
                <w:rFonts w:ascii="Arial" w:hAnsi="Arial" w:cs="Arial"/>
                <w:b/>
                <w:bCs/>
                <w:noProof/>
                <w:sz w:val="22"/>
                <w:lang w:val="en-GB"/>
              </w:rPr>
            </w:pPr>
            <w:r w:rsidRPr="004261CD">
              <w:rPr>
                <w:rFonts w:ascii="Arial" w:hAnsi="Arial" w:cs="Arial"/>
                <w:b/>
                <w:bCs/>
                <w:noProof/>
                <w:sz w:val="22"/>
                <w:lang w:val="en-GB"/>
              </w:rPr>
              <w:t xml:space="preserve">                                 </w:t>
            </w:r>
          </w:p>
        </w:tc>
        <w:tc>
          <w:tcPr>
            <w:tcW w:w="7127" w:type="dxa"/>
            <w:noWrap/>
            <w:hideMark/>
          </w:tcPr>
          <w:p w14:paraId="5DE9EA08" w14:textId="4D9B4BE9" w:rsidR="008E7181" w:rsidRPr="004261CD" w:rsidRDefault="004A2AE0" w:rsidP="008E7181">
            <w:pPr>
              <w:tabs>
                <w:tab w:val="left" w:pos="993"/>
              </w:tabs>
              <w:rPr>
                <w:rFonts w:ascii="Arial" w:hAnsi="Arial" w:cs="Arial"/>
                <w:bCs/>
                <w:sz w:val="22"/>
                <w:szCs w:val="22"/>
                <w:lang w:val="en-GB"/>
              </w:rPr>
            </w:pPr>
            <w:r w:rsidRPr="004261CD">
              <w:rPr>
                <w:rFonts w:ascii="Arial" w:hAnsi="Arial" w:cs="Arial"/>
                <w:bCs/>
                <w:sz w:val="22"/>
                <w:szCs w:val="22"/>
                <w:lang w:val="en-GB"/>
              </w:rPr>
              <w:t xml:space="preserve">Reporting </w:t>
            </w:r>
          </w:p>
          <w:p w14:paraId="6065ED5D" w14:textId="60896DEF" w:rsidR="008E7181" w:rsidRPr="004261CD" w:rsidRDefault="008E7181" w:rsidP="008E7181">
            <w:pPr>
              <w:tabs>
                <w:tab w:val="left" w:pos="993"/>
              </w:tabs>
              <w:rPr>
                <w:rFonts w:ascii="Arial" w:hAnsi="Arial" w:cs="Arial"/>
                <w:bCs/>
                <w:sz w:val="22"/>
                <w:szCs w:val="22"/>
                <w:lang w:val="en-GB"/>
              </w:rPr>
            </w:pPr>
          </w:p>
          <w:p w14:paraId="01DA8E96" w14:textId="77777777" w:rsidR="004A2AE0" w:rsidRPr="004261CD" w:rsidRDefault="004A2AE0" w:rsidP="00B16A15">
            <w:pPr>
              <w:tabs>
                <w:tab w:val="left" w:pos="993"/>
              </w:tabs>
              <w:rPr>
                <w:rFonts w:ascii="Arial" w:hAnsi="Arial" w:cs="Arial"/>
                <w:bCs/>
                <w:sz w:val="22"/>
                <w:szCs w:val="22"/>
                <w:lang w:val="en-GB"/>
              </w:rPr>
            </w:pPr>
          </w:p>
          <w:p w14:paraId="2EA52DB2" w14:textId="3B3CFB23" w:rsidR="008E7181" w:rsidRPr="004261CD" w:rsidRDefault="008E7181">
            <w:pPr>
              <w:spacing w:after="160" w:line="259" w:lineRule="auto"/>
              <w:rPr>
                <w:rFonts w:ascii="Arial" w:hAnsi="Arial" w:cs="Arial"/>
                <w:bCs/>
                <w:noProof/>
                <w:sz w:val="22"/>
                <w:lang w:val="en-GB"/>
              </w:rPr>
            </w:pPr>
          </w:p>
        </w:tc>
        <w:tc>
          <w:tcPr>
            <w:tcW w:w="1282" w:type="dxa"/>
            <w:noWrap/>
            <w:hideMark/>
          </w:tcPr>
          <w:p w14:paraId="1755BDA4" w14:textId="466AD1D5" w:rsidR="008E7181" w:rsidRPr="004261CD" w:rsidRDefault="008E7181">
            <w:pPr>
              <w:spacing w:after="160" w:line="259" w:lineRule="auto"/>
              <w:rPr>
                <w:rFonts w:ascii="Arial" w:hAnsi="Arial" w:cs="Arial"/>
                <w:noProof/>
                <w:sz w:val="22"/>
                <w:lang w:val="en-GB"/>
              </w:rPr>
            </w:pPr>
            <w:r w:rsidRPr="004261CD">
              <w:rPr>
                <w:rFonts w:ascii="Arial" w:hAnsi="Arial" w:cs="Arial"/>
                <w:noProof/>
                <w:sz w:val="22"/>
                <w:lang w:val="en-GB"/>
              </w:rPr>
              <w:t xml:space="preserve">Page </w:t>
            </w:r>
            <w:r w:rsidR="00F71592">
              <w:rPr>
                <w:rFonts w:ascii="Arial" w:hAnsi="Arial" w:cs="Arial"/>
                <w:noProof/>
                <w:sz w:val="22"/>
                <w:lang w:val="en-GB"/>
              </w:rPr>
              <w:t>7</w:t>
            </w:r>
          </w:p>
          <w:p w14:paraId="11D6E0B5" w14:textId="6AF6C0F7" w:rsidR="008E7181" w:rsidRPr="004261CD" w:rsidRDefault="008E7181">
            <w:pPr>
              <w:spacing w:after="160" w:line="259" w:lineRule="auto"/>
              <w:rPr>
                <w:rFonts w:ascii="Arial" w:hAnsi="Arial" w:cs="Arial"/>
                <w:noProof/>
                <w:sz w:val="22"/>
                <w:lang w:val="en-GB"/>
              </w:rPr>
            </w:pPr>
          </w:p>
        </w:tc>
      </w:tr>
      <w:tr w:rsidR="008E7181" w:rsidRPr="004261CD" w14:paraId="25DA966D" w14:textId="77777777" w:rsidTr="00B16A15">
        <w:trPr>
          <w:trHeight w:val="291"/>
        </w:trPr>
        <w:tc>
          <w:tcPr>
            <w:tcW w:w="765" w:type="dxa"/>
            <w:noWrap/>
          </w:tcPr>
          <w:p w14:paraId="1E04FE85" w14:textId="77777777" w:rsidR="008E7181" w:rsidRPr="004261CD" w:rsidRDefault="008E7181">
            <w:pPr>
              <w:spacing w:after="160" w:line="259" w:lineRule="auto"/>
              <w:rPr>
                <w:rFonts w:ascii="Arial" w:hAnsi="Arial" w:cs="Arial"/>
                <w:b/>
                <w:bCs/>
                <w:noProof/>
                <w:sz w:val="22"/>
                <w:lang w:val="en-GB"/>
              </w:rPr>
            </w:pPr>
            <w:r w:rsidRPr="004261CD">
              <w:rPr>
                <w:rFonts w:ascii="Arial" w:hAnsi="Arial" w:cs="Arial"/>
                <w:b/>
                <w:bCs/>
                <w:noProof/>
                <w:sz w:val="22"/>
                <w:lang w:val="en-GB"/>
              </w:rPr>
              <w:t xml:space="preserve">              </w:t>
            </w:r>
          </w:p>
        </w:tc>
        <w:tc>
          <w:tcPr>
            <w:tcW w:w="7127" w:type="dxa"/>
            <w:noWrap/>
          </w:tcPr>
          <w:p w14:paraId="40A4F820" w14:textId="168DBD2A" w:rsidR="008E7181" w:rsidRPr="004261CD" w:rsidRDefault="008E7181">
            <w:pPr>
              <w:spacing w:after="160" w:line="259" w:lineRule="auto"/>
              <w:rPr>
                <w:rFonts w:ascii="Arial" w:hAnsi="Arial" w:cs="Arial"/>
                <w:noProof/>
                <w:sz w:val="22"/>
                <w:lang w:val="en-GB"/>
              </w:rPr>
            </w:pPr>
          </w:p>
        </w:tc>
        <w:tc>
          <w:tcPr>
            <w:tcW w:w="1282" w:type="dxa"/>
            <w:noWrap/>
          </w:tcPr>
          <w:p w14:paraId="13CFCC3A" w14:textId="0C6C6C97" w:rsidR="008E7181" w:rsidRPr="004261CD" w:rsidRDefault="008E7181">
            <w:pPr>
              <w:spacing w:after="160" w:line="259" w:lineRule="auto"/>
              <w:rPr>
                <w:rFonts w:ascii="Arial" w:hAnsi="Arial" w:cs="Arial"/>
                <w:noProof/>
                <w:sz w:val="22"/>
                <w:lang w:val="en-GB"/>
              </w:rPr>
            </w:pPr>
          </w:p>
        </w:tc>
      </w:tr>
    </w:tbl>
    <w:p w14:paraId="69E22976" w14:textId="47F00A80" w:rsidR="002555FA" w:rsidRPr="004261CD" w:rsidRDefault="002555FA">
      <w:pPr>
        <w:rPr>
          <w:rFonts w:ascii="Arial" w:hAnsi="Arial" w:cs="Arial"/>
          <w:b/>
          <w:lang w:val="en-GB"/>
        </w:rPr>
      </w:pPr>
    </w:p>
    <w:p w14:paraId="0CFACA6B" w14:textId="0C342AF0" w:rsidR="005264C6" w:rsidRPr="004261CD" w:rsidRDefault="005264C6" w:rsidP="1DD2B8A2">
      <w:pPr>
        <w:rPr>
          <w:rFonts w:ascii="Arial" w:hAnsi="Arial" w:cs="Arial"/>
          <w:b/>
          <w:bCs/>
          <w:lang w:val="en-GB"/>
        </w:rPr>
      </w:pPr>
    </w:p>
    <w:p w14:paraId="7FD518B2" w14:textId="210DD505" w:rsidR="1DD2B8A2" w:rsidRDefault="1DD2B8A2" w:rsidP="1DD2B8A2">
      <w:pPr>
        <w:rPr>
          <w:rFonts w:ascii="Arial" w:hAnsi="Arial" w:cs="Arial"/>
          <w:b/>
          <w:bCs/>
          <w:lang w:val="en-GB"/>
        </w:rPr>
      </w:pPr>
    </w:p>
    <w:p w14:paraId="127FF4D3" w14:textId="73321B29" w:rsidR="1DD2B8A2" w:rsidRDefault="1DD2B8A2" w:rsidP="1DD2B8A2">
      <w:pPr>
        <w:rPr>
          <w:rFonts w:ascii="Arial" w:hAnsi="Arial" w:cs="Arial"/>
          <w:b/>
          <w:bCs/>
          <w:lang w:val="en-GB"/>
        </w:rPr>
      </w:pPr>
    </w:p>
    <w:p w14:paraId="7716A3DD" w14:textId="285CEC60" w:rsidR="1DD2B8A2" w:rsidRDefault="1DD2B8A2" w:rsidP="1DD2B8A2">
      <w:pPr>
        <w:rPr>
          <w:rFonts w:ascii="Arial" w:hAnsi="Arial" w:cs="Arial"/>
          <w:b/>
          <w:bCs/>
          <w:lang w:val="en-GB"/>
        </w:rPr>
      </w:pPr>
    </w:p>
    <w:p w14:paraId="423F4C0A" w14:textId="4E758E28" w:rsidR="1DD2B8A2" w:rsidRDefault="1DD2B8A2" w:rsidP="1DD2B8A2">
      <w:pPr>
        <w:rPr>
          <w:rFonts w:ascii="Arial" w:hAnsi="Arial" w:cs="Arial"/>
          <w:b/>
          <w:bCs/>
          <w:lang w:val="en-GB"/>
        </w:rPr>
      </w:pPr>
    </w:p>
    <w:p w14:paraId="5C3CF1C4" w14:textId="77777777" w:rsidR="00EB67D7" w:rsidRDefault="00EB67D7" w:rsidP="1DD2B8A2">
      <w:pPr>
        <w:rPr>
          <w:rFonts w:ascii="Arial" w:hAnsi="Arial" w:cs="Arial"/>
          <w:b/>
          <w:bCs/>
          <w:lang w:val="en-GB"/>
        </w:rPr>
      </w:pPr>
    </w:p>
    <w:p w14:paraId="690EAFF4" w14:textId="77777777" w:rsidR="00EB67D7" w:rsidRDefault="00EB67D7" w:rsidP="1DD2B8A2">
      <w:pPr>
        <w:rPr>
          <w:rFonts w:ascii="Arial" w:hAnsi="Arial" w:cs="Arial"/>
          <w:b/>
          <w:bCs/>
          <w:lang w:val="en-GB"/>
        </w:rPr>
      </w:pPr>
    </w:p>
    <w:p w14:paraId="78DB13A7" w14:textId="77777777" w:rsidR="00EB67D7" w:rsidRDefault="00EB67D7" w:rsidP="1DD2B8A2">
      <w:pPr>
        <w:rPr>
          <w:rFonts w:ascii="Arial" w:hAnsi="Arial" w:cs="Arial"/>
          <w:b/>
          <w:bCs/>
          <w:lang w:val="en-GB"/>
        </w:rPr>
      </w:pPr>
    </w:p>
    <w:p w14:paraId="67559F1E" w14:textId="77777777" w:rsidR="00EB67D7" w:rsidRDefault="00EB67D7" w:rsidP="1DD2B8A2">
      <w:pPr>
        <w:rPr>
          <w:rFonts w:ascii="Arial" w:hAnsi="Arial" w:cs="Arial"/>
          <w:b/>
          <w:bCs/>
          <w:lang w:val="en-GB"/>
        </w:rPr>
      </w:pPr>
    </w:p>
    <w:p w14:paraId="1A2B9385" w14:textId="77777777" w:rsidR="00EB67D7" w:rsidRDefault="00EB67D7" w:rsidP="1DD2B8A2">
      <w:pPr>
        <w:rPr>
          <w:rFonts w:ascii="Arial" w:hAnsi="Arial" w:cs="Arial"/>
          <w:b/>
          <w:bCs/>
          <w:lang w:val="en-GB"/>
        </w:rPr>
      </w:pPr>
    </w:p>
    <w:p w14:paraId="17A8F41F" w14:textId="6F5ABDC8" w:rsidR="1DD2B8A2" w:rsidRDefault="1DD2B8A2" w:rsidP="1DD2B8A2">
      <w:pPr>
        <w:rPr>
          <w:rFonts w:ascii="Arial" w:hAnsi="Arial" w:cs="Arial"/>
          <w:b/>
          <w:bCs/>
          <w:lang w:val="en-GB"/>
        </w:rPr>
      </w:pPr>
    </w:p>
    <w:p w14:paraId="2D762EDB" w14:textId="4804CED0" w:rsidR="1DD2B8A2" w:rsidRDefault="1DD2B8A2" w:rsidP="1DD2B8A2">
      <w:pPr>
        <w:rPr>
          <w:rFonts w:ascii="Arial" w:hAnsi="Arial" w:cs="Arial"/>
          <w:b/>
          <w:bCs/>
          <w:lang w:val="en-GB"/>
        </w:rPr>
      </w:pPr>
    </w:p>
    <w:p w14:paraId="6B2E0182" w14:textId="77777777" w:rsidR="003630AB" w:rsidRDefault="003630AB" w:rsidP="1DD2B8A2">
      <w:pPr>
        <w:rPr>
          <w:rFonts w:ascii="Arial" w:hAnsi="Arial" w:cs="Arial"/>
          <w:b/>
          <w:bCs/>
          <w:lang w:val="en-GB"/>
        </w:rPr>
      </w:pPr>
    </w:p>
    <w:p w14:paraId="21DA4A3C" w14:textId="77777777" w:rsidR="003630AB" w:rsidRDefault="003630AB" w:rsidP="1DD2B8A2">
      <w:pPr>
        <w:rPr>
          <w:rFonts w:ascii="Arial" w:hAnsi="Arial" w:cs="Arial"/>
          <w:b/>
          <w:bCs/>
          <w:lang w:val="en-GB"/>
        </w:rPr>
      </w:pPr>
    </w:p>
    <w:p w14:paraId="1F80BC5E" w14:textId="77777777" w:rsidR="003630AB" w:rsidRDefault="003630AB" w:rsidP="1DD2B8A2">
      <w:pPr>
        <w:rPr>
          <w:rFonts w:ascii="Arial" w:hAnsi="Arial" w:cs="Arial"/>
          <w:b/>
          <w:bCs/>
          <w:lang w:val="en-GB"/>
        </w:rPr>
      </w:pPr>
    </w:p>
    <w:p w14:paraId="7C192451" w14:textId="77777777" w:rsidR="003630AB" w:rsidRDefault="003630AB" w:rsidP="1DD2B8A2">
      <w:pPr>
        <w:rPr>
          <w:rFonts w:ascii="Arial" w:hAnsi="Arial" w:cs="Arial"/>
          <w:b/>
          <w:bCs/>
          <w:lang w:val="en-GB"/>
        </w:rPr>
      </w:pPr>
    </w:p>
    <w:p w14:paraId="0623B758" w14:textId="77777777" w:rsidR="003630AB" w:rsidRDefault="003630AB" w:rsidP="1DD2B8A2">
      <w:pPr>
        <w:rPr>
          <w:rFonts w:ascii="Arial" w:hAnsi="Arial" w:cs="Arial"/>
          <w:b/>
          <w:bCs/>
          <w:lang w:val="en-GB"/>
        </w:rPr>
      </w:pPr>
    </w:p>
    <w:p w14:paraId="05E3FB80" w14:textId="77777777" w:rsidR="003630AB" w:rsidRDefault="003630AB" w:rsidP="1DD2B8A2">
      <w:pPr>
        <w:rPr>
          <w:rFonts w:ascii="Arial" w:hAnsi="Arial" w:cs="Arial"/>
          <w:b/>
          <w:bCs/>
          <w:lang w:val="en-GB"/>
        </w:rPr>
      </w:pPr>
    </w:p>
    <w:p w14:paraId="68A9BF67" w14:textId="77777777" w:rsidR="003630AB" w:rsidRDefault="003630AB" w:rsidP="1DD2B8A2">
      <w:pPr>
        <w:rPr>
          <w:rFonts w:ascii="Arial" w:hAnsi="Arial" w:cs="Arial"/>
          <w:b/>
          <w:bCs/>
          <w:lang w:val="en-GB"/>
        </w:rPr>
      </w:pPr>
    </w:p>
    <w:p w14:paraId="2857A7D2" w14:textId="77777777" w:rsidR="003630AB" w:rsidRDefault="003630AB" w:rsidP="1DD2B8A2">
      <w:pPr>
        <w:rPr>
          <w:rFonts w:ascii="Arial" w:hAnsi="Arial" w:cs="Arial"/>
          <w:b/>
          <w:bCs/>
          <w:lang w:val="en-GB"/>
        </w:rPr>
      </w:pPr>
    </w:p>
    <w:p w14:paraId="0971F84E" w14:textId="77777777" w:rsidR="003630AB" w:rsidRDefault="003630AB" w:rsidP="1DD2B8A2">
      <w:pPr>
        <w:rPr>
          <w:rFonts w:ascii="Arial" w:hAnsi="Arial" w:cs="Arial"/>
          <w:b/>
          <w:bCs/>
          <w:lang w:val="en-GB"/>
        </w:rPr>
      </w:pPr>
    </w:p>
    <w:p w14:paraId="2653C2FF" w14:textId="77777777" w:rsidR="003630AB" w:rsidRDefault="003630AB" w:rsidP="1DD2B8A2">
      <w:pPr>
        <w:rPr>
          <w:rFonts w:ascii="Arial" w:hAnsi="Arial" w:cs="Arial"/>
          <w:b/>
          <w:bCs/>
          <w:lang w:val="en-GB"/>
        </w:rPr>
      </w:pPr>
    </w:p>
    <w:p w14:paraId="3C73C2B8" w14:textId="77777777" w:rsidR="003630AB" w:rsidRDefault="003630AB" w:rsidP="1DD2B8A2">
      <w:pPr>
        <w:rPr>
          <w:rFonts w:ascii="Arial" w:hAnsi="Arial" w:cs="Arial"/>
          <w:b/>
          <w:bCs/>
          <w:lang w:val="en-GB"/>
        </w:rPr>
      </w:pPr>
    </w:p>
    <w:p w14:paraId="218EB52F" w14:textId="77777777" w:rsidR="003630AB" w:rsidRDefault="003630AB" w:rsidP="1DD2B8A2">
      <w:pPr>
        <w:rPr>
          <w:rFonts w:ascii="Arial" w:hAnsi="Arial" w:cs="Arial"/>
          <w:b/>
          <w:bCs/>
          <w:lang w:val="en-GB"/>
        </w:rPr>
      </w:pPr>
    </w:p>
    <w:p w14:paraId="2048C939" w14:textId="77777777" w:rsidR="003630AB" w:rsidRDefault="003630AB" w:rsidP="1DD2B8A2">
      <w:pPr>
        <w:rPr>
          <w:rFonts w:ascii="Arial" w:hAnsi="Arial" w:cs="Arial"/>
          <w:b/>
          <w:bCs/>
          <w:lang w:val="en-GB"/>
        </w:rPr>
      </w:pPr>
    </w:p>
    <w:p w14:paraId="2830953A" w14:textId="77777777" w:rsidR="003630AB" w:rsidRDefault="003630AB" w:rsidP="1DD2B8A2">
      <w:pPr>
        <w:rPr>
          <w:rFonts w:ascii="Arial" w:hAnsi="Arial" w:cs="Arial"/>
          <w:b/>
          <w:bCs/>
          <w:lang w:val="en-GB"/>
        </w:rPr>
      </w:pPr>
    </w:p>
    <w:p w14:paraId="398E335F" w14:textId="77777777" w:rsidR="003630AB" w:rsidRDefault="003630AB" w:rsidP="1DD2B8A2">
      <w:pPr>
        <w:rPr>
          <w:rFonts w:ascii="Arial" w:hAnsi="Arial" w:cs="Arial"/>
          <w:b/>
          <w:bCs/>
          <w:lang w:val="en-GB"/>
        </w:rPr>
      </w:pPr>
    </w:p>
    <w:p w14:paraId="32545970" w14:textId="77777777" w:rsidR="003630AB" w:rsidRDefault="003630AB" w:rsidP="1DD2B8A2">
      <w:pPr>
        <w:rPr>
          <w:rFonts w:ascii="Arial" w:hAnsi="Arial" w:cs="Arial"/>
          <w:b/>
          <w:bCs/>
          <w:lang w:val="en-GB"/>
        </w:rPr>
      </w:pPr>
    </w:p>
    <w:p w14:paraId="0A309B1E" w14:textId="77777777" w:rsidR="003630AB" w:rsidRDefault="003630AB" w:rsidP="1DD2B8A2">
      <w:pPr>
        <w:rPr>
          <w:rFonts w:ascii="Arial" w:hAnsi="Arial" w:cs="Arial"/>
          <w:b/>
          <w:bCs/>
          <w:lang w:val="en-GB"/>
        </w:rPr>
      </w:pPr>
    </w:p>
    <w:p w14:paraId="485FF847" w14:textId="24C49363" w:rsidR="005264C6" w:rsidRPr="004261CD" w:rsidRDefault="005264C6" w:rsidP="005264C6">
      <w:pPr>
        <w:rPr>
          <w:rFonts w:ascii="Arial" w:hAnsi="Arial" w:cs="Arial"/>
          <w:b/>
          <w:lang w:val="en-GB"/>
        </w:rPr>
      </w:pPr>
    </w:p>
    <w:p w14:paraId="0DD44A55" w14:textId="522A696D" w:rsidR="00134D41" w:rsidRPr="00900E7F" w:rsidRDefault="00134D41" w:rsidP="00900E7F">
      <w:pPr>
        <w:rPr>
          <w:rFonts w:ascii="Arial" w:hAnsi="Arial" w:cs="Arial"/>
          <w:b/>
          <w:bCs/>
          <w:lang w:val="en-GB"/>
        </w:rPr>
      </w:pPr>
      <w:r w:rsidRPr="261DDE91">
        <w:rPr>
          <w:rFonts w:ascii="Arial" w:hAnsi="Arial" w:cs="Arial"/>
          <w:b/>
          <w:bCs/>
          <w:sz w:val="22"/>
          <w:szCs w:val="22"/>
          <w:lang w:val="en-GB"/>
        </w:rPr>
        <w:t xml:space="preserve"> </w:t>
      </w:r>
    </w:p>
    <w:p w14:paraId="1C02F642" w14:textId="77777777" w:rsidR="00134D41" w:rsidRPr="004261CD" w:rsidRDefault="00134D41" w:rsidP="00B16A15">
      <w:pPr>
        <w:tabs>
          <w:tab w:val="left" w:pos="993"/>
        </w:tabs>
        <w:ind w:left="360"/>
        <w:rPr>
          <w:rFonts w:ascii="Arial" w:hAnsi="Arial" w:cs="Arial"/>
          <w:b/>
          <w:sz w:val="22"/>
          <w:szCs w:val="22"/>
          <w:lang w:val="en-GB"/>
        </w:rPr>
      </w:pPr>
    </w:p>
    <w:p w14:paraId="2BCA193E" w14:textId="4923CFC7" w:rsidR="00EF0217" w:rsidRPr="004261CD" w:rsidRDefault="00F77A5A" w:rsidP="00140C3B">
      <w:pPr>
        <w:numPr>
          <w:ilvl w:val="0"/>
          <w:numId w:val="1"/>
        </w:numPr>
        <w:tabs>
          <w:tab w:val="left" w:pos="993"/>
        </w:tabs>
        <w:ind w:firstLine="0"/>
        <w:rPr>
          <w:rFonts w:ascii="Arial" w:hAnsi="Arial" w:cs="Arial"/>
          <w:b/>
          <w:sz w:val="22"/>
          <w:szCs w:val="22"/>
          <w:lang w:val="en-GB"/>
        </w:rPr>
      </w:pPr>
      <w:r>
        <w:rPr>
          <w:rFonts w:ascii="Arial" w:hAnsi="Arial" w:cs="Arial"/>
          <w:b/>
          <w:sz w:val="22"/>
          <w:szCs w:val="22"/>
          <w:lang w:val="en-GB"/>
        </w:rPr>
        <w:lastRenderedPageBreak/>
        <w:t>Introduction</w:t>
      </w:r>
    </w:p>
    <w:p w14:paraId="0337359F" w14:textId="77777777" w:rsidR="007814F0" w:rsidRPr="004261CD" w:rsidRDefault="007814F0" w:rsidP="001D086D">
      <w:pPr>
        <w:ind w:left="360"/>
        <w:rPr>
          <w:rFonts w:ascii="Arial" w:hAnsi="Arial" w:cs="Arial"/>
          <w:lang w:val="en-GB"/>
        </w:rPr>
      </w:pPr>
    </w:p>
    <w:p w14:paraId="1477A55F" w14:textId="304E349A" w:rsidR="00A526CB" w:rsidRPr="00A526CB" w:rsidRDefault="00A526CB" w:rsidP="00A526CB">
      <w:pPr>
        <w:numPr>
          <w:ilvl w:val="1"/>
          <w:numId w:val="1"/>
        </w:numPr>
        <w:tabs>
          <w:tab w:val="num" w:pos="993"/>
        </w:tabs>
        <w:ind w:left="993" w:hanging="633"/>
        <w:rPr>
          <w:rFonts w:ascii="Arial" w:hAnsi="Arial" w:cs="Arial"/>
          <w:sz w:val="22"/>
          <w:szCs w:val="22"/>
          <w:lang w:val="en-GB"/>
        </w:rPr>
      </w:pPr>
      <w:r w:rsidRPr="00A526CB">
        <w:rPr>
          <w:rFonts w:ascii="Arial" w:hAnsi="Arial" w:cs="Arial"/>
          <w:sz w:val="22"/>
          <w:szCs w:val="22"/>
          <w:lang w:val="en-GB"/>
        </w:rPr>
        <w:t xml:space="preserve">This </w:t>
      </w:r>
      <w:r>
        <w:rPr>
          <w:rFonts w:ascii="Arial" w:hAnsi="Arial" w:cs="Arial"/>
          <w:sz w:val="22"/>
          <w:szCs w:val="22"/>
          <w:lang w:val="en-GB"/>
        </w:rPr>
        <w:t>policy</w:t>
      </w:r>
      <w:r w:rsidRPr="00A526CB">
        <w:rPr>
          <w:rFonts w:ascii="Arial" w:hAnsi="Arial" w:cs="Arial"/>
          <w:sz w:val="22"/>
          <w:szCs w:val="22"/>
          <w:lang w:val="en-GB"/>
        </w:rPr>
        <w:t xml:space="preserve"> sets out the practice governing London Metropolitan University’s treasury management activities, as agreed by the University’s Board of Governors.</w:t>
      </w:r>
    </w:p>
    <w:p w14:paraId="01D01E43" w14:textId="77777777" w:rsidR="00A526CB" w:rsidRPr="00A526CB" w:rsidRDefault="00A526CB" w:rsidP="00A526CB">
      <w:pPr>
        <w:rPr>
          <w:rFonts w:ascii="Arial" w:hAnsi="Arial" w:cs="Arial"/>
          <w:sz w:val="22"/>
          <w:szCs w:val="22"/>
          <w:lang w:val="en-GB"/>
        </w:rPr>
      </w:pPr>
    </w:p>
    <w:p w14:paraId="7810BCEC" w14:textId="0C98C749" w:rsidR="007814F0" w:rsidRPr="004261CD" w:rsidRDefault="0019615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Treasury management </w:t>
      </w:r>
      <w:r w:rsidR="00EF0217" w:rsidRPr="004261CD">
        <w:rPr>
          <w:rFonts w:ascii="Arial" w:hAnsi="Arial" w:cs="Arial"/>
          <w:sz w:val="22"/>
          <w:szCs w:val="22"/>
          <w:lang w:val="en-GB"/>
        </w:rPr>
        <w:t>encompasses</w:t>
      </w:r>
      <w:r w:rsidRPr="004261CD">
        <w:rPr>
          <w:rFonts w:ascii="Arial" w:hAnsi="Arial" w:cs="Arial"/>
          <w:sz w:val="22"/>
          <w:szCs w:val="22"/>
          <w:lang w:val="en-GB"/>
        </w:rPr>
        <w:t xml:space="preserve"> </w:t>
      </w:r>
      <w:r w:rsidR="00EF0217" w:rsidRPr="004261CD">
        <w:rPr>
          <w:rFonts w:ascii="Arial" w:hAnsi="Arial" w:cs="Arial"/>
          <w:sz w:val="22"/>
          <w:szCs w:val="22"/>
          <w:lang w:val="en-GB"/>
        </w:rPr>
        <w:t>the management of the institution</w:t>
      </w:r>
      <w:r w:rsidR="008803E2" w:rsidRPr="004261CD">
        <w:rPr>
          <w:rFonts w:ascii="Arial" w:hAnsi="Arial" w:cs="Arial"/>
          <w:sz w:val="22"/>
          <w:szCs w:val="22"/>
          <w:lang w:val="en-GB"/>
        </w:rPr>
        <w:t>’</w:t>
      </w:r>
      <w:r w:rsidR="00EF0217" w:rsidRPr="004261CD">
        <w:rPr>
          <w:rFonts w:ascii="Arial" w:hAnsi="Arial" w:cs="Arial"/>
          <w:sz w:val="22"/>
          <w:szCs w:val="22"/>
          <w:lang w:val="en-GB"/>
        </w:rPr>
        <w:t xml:space="preserve">s </w:t>
      </w:r>
      <w:r w:rsidRPr="004261CD">
        <w:rPr>
          <w:rFonts w:ascii="Arial" w:hAnsi="Arial" w:cs="Arial"/>
          <w:sz w:val="22"/>
          <w:szCs w:val="22"/>
          <w:lang w:val="en-GB"/>
        </w:rPr>
        <w:t>cash flow</w:t>
      </w:r>
      <w:r w:rsidR="00EF0217" w:rsidRPr="004261CD">
        <w:rPr>
          <w:rFonts w:ascii="Arial" w:hAnsi="Arial" w:cs="Arial"/>
          <w:sz w:val="22"/>
          <w:szCs w:val="22"/>
          <w:lang w:val="en-GB"/>
        </w:rPr>
        <w:t xml:space="preserve">, </w:t>
      </w:r>
      <w:r w:rsidRPr="004261CD">
        <w:rPr>
          <w:rFonts w:ascii="Arial" w:hAnsi="Arial" w:cs="Arial"/>
          <w:sz w:val="22"/>
          <w:szCs w:val="22"/>
          <w:lang w:val="en-GB"/>
        </w:rPr>
        <w:t>banking</w:t>
      </w:r>
      <w:r w:rsidR="00EF0217" w:rsidRPr="004261CD">
        <w:rPr>
          <w:rFonts w:ascii="Arial" w:hAnsi="Arial" w:cs="Arial"/>
          <w:sz w:val="22"/>
          <w:szCs w:val="22"/>
          <w:lang w:val="en-GB"/>
        </w:rPr>
        <w:t xml:space="preserve">, and </w:t>
      </w:r>
      <w:r w:rsidRPr="004261CD">
        <w:rPr>
          <w:rFonts w:ascii="Arial" w:hAnsi="Arial" w:cs="Arial"/>
          <w:sz w:val="22"/>
          <w:szCs w:val="22"/>
          <w:lang w:val="en-GB"/>
        </w:rPr>
        <w:t>capital market transactions</w:t>
      </w:r>
      <w:r w:rsidR="00EF0217" w:rsidRPr="004261CD">
        <w:rPr>
          <w:rFonts w:ascii="Arial" w:hAnsi="Arial" w:cs="Arial"/>
          <w:sz w:val="22"/>
          <w:szCs w:val="22"/>
          <w:lang w:val="en-GB"/>
        </w:rPr>
        <w:t xml:space="preserve">, the effective control of risk associated with these </w:t>
      </w:r>
      <w:r w:rsidR="008803E2" w:rsidRPr="004261CD">
        <w:rPr>
          <w:rFonts w:ascii="Arial" w:hAnsi="Arial" w:cs="Arial"/>
          <w:sz w:val="22"/>
          <w:szCs w:val="22"/>
          <w:lang w:val="en-GB"/>
        </w:rPr>
        <w:t>activities,</w:t>
      </w:r>
      <w:r w:rsidR="00EF0217" w:rsidRPr="004261CD">
        <w:rPr>
          <w:rFonts w:ascii="Arial" w:hAnsi="Arial" w:cs="Arial"/>
          <w:sz w:val="22"/>
          <w:szCs w:val="22"/>
          <w:lang w:val="en-GB"/>
        </w:rPr>
        <w:t xml:space="preserve"> and the pursuit of optimum performance consistent with </w:t>
      </w:r>
      <w:r w:rsidR="008803E2" w:rsidRPr="004261CD">
        <w:rPr>
          <w:rFonts w:ascii="Arial" w:hAnsi="Arial" w:cs="Arial"/>
          <w:sz w:val="22"/>
          <w:szCs w:val="22"/>
          <w:lang w:val="en-GB"/>
        </w:rPr>
        <w:t>that risk.</w:t>
      </w:r>
    </w:p>
    <w:p w14:paraId="352C915D" w14:textId="77777777" w:rsidR="00E8272B" w:rsidRPr="004261CD" w:rsidRDefault="00E8272B" w:rsidP="00E8272B">
      <w:pPr>
        <w:ind w:left="993"/>
        <w:rPr>
          <w:rFonts w:ascii="Arial" w:hAnsi="Arial" w:cs="Arial"/>
          <w:sz w:val="22"/>
          <w:szCs w:val="22"/>
          <w:lang w:val="en-GB"/>
        </w:rPr>
      </w:pPr>
    </w:p>
    <w:p w14:paraId="5E3B3CB9" w14:textId="3031B014" w:rsidR="00CF12FB" w:rsidRPr="004261CD" w:rsidRDefault="008803E2">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University’s Treasury Management Objectives </w:t>
      </w:r>
      <w:proofErr w:type="gramStart"/>
      <w:r w:rsidR="0085231D" w:rsidRPr="004261CD">
        <w:rPr>
          <w:rFonts w:ascii="Arial" w:hAnsi="Arial" w:cs="Arial"/>
          <w:sz w:val="22"/>
          <w:szCs w:val="22"/>
          <w:lang w:val="en-GB"/>
        </w:rPr>
        <w:t>are</w:t>
      </w:r>
      <w:r w:rsidR="00CF12FB" w:rsidRPr="004261CD">
        <w:rPr>
          <w:rFonts w:ascii="Arial" w:hAnsi="Arial" w:cs="Arial"/>
          <w:sz w:val="22"/>
          <w:szCs w:val="22"/>
          <w:lang w:val="en-GB"/>
        </w:rPr>
        <w:t>;</w:t>
      </w:r>
      <w:proofErr w:type="gramEnd"/>
    </w:p>
    <w:p w14:paraId="3CB4C810" w14:textId="4FA15258" w:rsidR="00753ACC" w:rsidRPr="004261CD" w:rsidRDefault="00753ACC">
      <w:pPr>
        <w:pStyle w:val="ListParagraph"/>
        <w:numPr>
          <w:ilvl w:val="1"/>
          <w:numId w:val="4"/>
        </w:numPr>
        <w:rPr>
          <w:rFonts w:ascii="Arial" w:hAnsi="Arial" w:cs="Arial"/>
          <w:sz w:val="22"/>
          <w:szCs w:val="22"/>
          <w:lang w:val="en-GB"/>
        </w:rPr>
      </w:pPr>
      <w:r w:rsidRPr="004261CD">
        <w:rPr>
          <w:rFonts w:ascii="Arial" w:hAnsi="Arial" w:cs="Arial"/>
          <w:sz w:val="22"/>
          <w:szCs w:val="22"/>
          <w:lang w:val="en-GB"/>
        </w:rPr>
        <w:t xml:space="preserve">To effectively identify, manage and control treasury risk for assets held in </w:t>
      </w:r>
      <w:r w:rsidR="00CF12FB" w:rsidRPr="004261CD">
        <w:rPr>
          <w:rFonts w:ascii="Arial" w:hAnsi="Arial" w:cs="Arial"/>
          <w:sz w:val="22"/>
          <w:szCs w:val="22"/>
          <w:lang w:val="en-GB"/>
        </w:rPr>
        <w:t>the short</w:t>
      </w:r>
      <w:r w:rsidRPr="004261CD">
        <w:rPr>
          <w:rFonts w:ascii="Arial" w:hAnsi="Arial" w:cs="Arial"/>
          <w:sz w:val="22"/>
          <w:szCs w:val="22"/>
          <w:lang w:val="en-GB"/>
        </w:rPr>
        <w:t xml:space="preserve"> to medium term (0-5 years)</w:t>
      </w:r>
    </w:p>
    <w:p w14:paraId="1A4A4737" w14:textId="7027AA15" w:rsidR="00D770EB" w:rsidRPr="004261CD" w:rsidRDefault="00753ACC">
      <w:pPr>
        <w:pStyle w:val="ListParagraph"/>
        <w:numPr>
          <w:ilvl w:val="1"/>
          <w:numId w:val="4"/>
        </w:numPr>
        <w:rPr>
          <w:rFonts w:ascii="Arial" w:hAnsi="Arial" w:cs="Arial"/>
          <w:sz w:val="22"/>
          <w:szCs w:val="22"/>
          <w:lang w:val="en-GB"/>
        </w:rPr>
      </w:pPr>
      <w:r w:rsidRPr="004261CD">
        <w:rPr>
          <w:rFonts w:ascii="Arial" w:hAnsi="Arial" w:cs="Arial"/>
          <w:sz w:val="22"/>
          <w:szCs w:val="22"/>
          <w:lang w:val="en-GB"/>
        </w:rPr>
        <w:t>T</w:t>
      </w:r>
      <w:r w:rsidR="00D770EB" w:rsidRPr="004261CD">
        <w:rPr>
          <w:rFonts w:ascii="Arial" w:hAnsi="Arial" w:cs="Arial"/>
          <w:sz w:val="22"/>
          <w:szCs w:val="22"/>
          <w:lang w:val="en-GB"/>
        </w:rPr>
        <w:t xml:space="preserve">o manage current account balances so that appropriate funds are available to meet day to day operational expenditure and working capital </w:t>
      </w:r>
      <w:proofErr w:type="gramStart"/>
      <w:r w:rsidR="00D770EB" w:rsidRPr="004261CD">
        <w:rPr>
          <w:rFonts w:ascii="Arial" w:hAnsi="Arial" w:cs="Arial"/>
          <w:sz w:val="22"/>
          <w:szCs w:val="22"/>
          <w:lang w:val="en-GB"/>
        </w:rPr>
        <w:t>requirements;</w:t>
      </w:r>
      <w:proofErr w:type="gramEnd"/>
    </w:p>
    <w:p w14:paraId="2E9AD8DB" w14:textId="378CF261" w:rsidR="00D770EB" w:rsidRPr="004261CD" w:rsidRDefault="00D770EB">
      <w:pPr>
        <w:pStyle w:val="ListParagraph"/>
        <w:numPr>
          <w:ilvl w:val="1"/>
          <w:numId w:val="4"/>
        </w:numPr>
        <w:rPr>
          <w:rFonts w:ascii="Arial" w:hAnsi="Arial" w:cs="Arial"/>
          <w:sz w:val="22"/>
          <w:szCs w:val="22"/>
          <w:lang w:val="en-GB"/>
        </w:rPr>
      </w:pPr>
      <w:r w:rsidRPr="004261CD">
        <w:rPr>
          <w:rFonts w:ascii="Arial" w:hAnsi="Arial" w:cs="Arial"/>
          <w:sz w:val="22"/>
          <w:szCs w:val="22"/>
          <w:lang w:val="en-GB"/>
        </w:rPr>
        <w:t xml:space="preserve">to safeguard University cash balances through effective management and control of </w:t>
      </w:r>
      <w:proofErr w:type="gramStart"/>
      <w:r w:rsidRPr="004261CD">
        <w:rPr>
          <w:rFonts w:ascii="Arial" w:hAnsi="Arial" w:cs="Arial"/>
          <w:sz w:val="22"/>
          <w:szCs w:val="22"/>
          <w:lang w:val="en-GB"/>
        </w:rPr>
        <w:t>funds;</w:t>
      </w:r>
      <w:proofErr w:type="gramEnd"/>
    </w:p>
    <w:p w14:paraId="057E152A" w14:textId="6F445F49" w:rsidR="00D770EB" w:rsidRPr="004261CD" w:rsidRDefault="00D770EB">
      <w:pPr>
        <w:pStyle w:val="ListParagraph"/>
        <w:numPr>
          <w:ilvl w:val="1"/>
          <w:numId w:val="4"/>
        </w:numPr>
        <w:rPr>
          <w:rFonts w:ascii="Arial" w:hAnsi="Arial" w:cs="Arial"/>
          <w:sz w:val="22"/>
          <w:szCs w:val="22"/>
          <w:lang w:val="en-GB"/>
        </w:rPr>
      </w:pPr>
      <w:r w:rsidRPr="004261CD">
        <w:rPr>
          <w:rFonts w:ascii="Arial" w:hAnsi="Arial" w:cs="Arial"/>
          <w:sz w:val="22"/>
          <w:szCs w:val="22"/>
          <w:lang w:val="en-GB"/>
        </w:rPr>
        <w:t xml:space="preserve">to ensure banking arrangements are secure and represent </w:t>
      </w:r>
      <w:bookmarkStart w:id="0" w:name="_Int_azlEQ7qX"/>
      <w:r w:rsidRPr="004261CD">
        <w:rPr>
          <w:rFonts w:ascii="Arial" w:hAnsi="Arial" w:cs="Arial"/>
          <w:sz w:val="22"/>
          <w:szCs w:val="22"/>
          <w:lang w:val="en-GB"/>
        </w:rPr>
        <w:t>good value</w:t>
      </w:r>
      <w:bookmarkEnd w:id="0"/>
      <w:r w:rsidRPr="004261CD">
        <w:rPr>
          <w:rFonts w:ascii="Arial" w:hAnsi="Arial" w:cs="Arial"/>
          <w:sz w:val="22"/>
          <w:szCs w:val="22"/>
          <w:lang w:val="en-GB"/>
        </w:rPr>
        <w:t xml:space="preserve"> for </w:t>
      </w:r>
      <w:proofErr w:type="gramStart"/>
      <w:r w:rsidRPr="004261CD">
        <w:rPr>
          <w:rFonts w:ascii="Arial" w:hAnsi="Arial" w:cs="Arial"/>
          <w:sz w:val="22"/>
          <w:szCs w:val="22"/>
          <w:lang w:val="en-GB"/>
        </w:rPr>
        <w:t>money;</w:t>
      </w:r>
      <w:proofErr w:type="gramEnd"/>
    </w:p>
    <w:p w14:paraId="20ED66DD" w14:textId="1099B5A2" w:rsidR="007814F0" w:rsidRPr="004261CD" w:rsidRDefault="00D770EB">
      <w:pPr>
        <w:pStyle w:val="ListParagraph"/>
        <w:numPr>
          <w:ilvl w:val="1"/>
          <w:numId w:val="4"/>
        </w:numPr>
        <w:rPr>
          <w:rFonts w:ascii="Arial" w:hAnsi="Arial" w:cs="Arial"/>
          <w:sz w:val="22"/>
          <w:szCs w:val="22"/>
          <w:lang w:val="en-GB"/>
        </w:rPr>
      </w:pPr>
      <w:r w:rsidRPr="004261CD">
        <w:rPr>
          <w:rFonts w:ascii="Arial" w:hAnsi="Arial" w:cs="Arial"/>
          <w:sz w:val="22"/>
          <w:szCs w:val="22"/>
          <w:lang w:val="en-GB"/>
        </w:rPr>
        <w:t xml:space="preserve">to </w:t>
      </w:r>
      <w:r w:rsidR="008803E2" w:rsidRPr="004261CD">
        <w:rPr>
          <w:rFonts w:ascii="Arial" w:hAnsi="Arial" w:cs="Arial"/>
          <w:sz w:val="22"/>
          <w:szCs w:val="22"/>
          <w:lang w:val="en-GB"/>
        </w:rPr>
        <w:t>optimis</w:t>
      </w:r>
      <w:r w:rsidRPr="004261CD">
        <w:rPr>
          <w:rFonts w:ascii="Arial" w:hAnsi="Arial" w:cs="Arial"/>
          <w:sz w:val="22"/>
          <w:szCs w:val="22"/>
          <w:lang w:val="en-GB"/>
        </w:rPr>
        <w:t>e</w:t>
      </w:r>
      <w:r w:rsidR="008803E2" w:rsidRPr="004261CD">
        <w:rPr>
          <w:rFonts w:ascii="Arial" w:hAnsi="Arial" w:cs="Arial"/>
          <w:sz w:val="22"/>
          <w:szCs w:val="22"/>
          <w:lang w:val="en-GB"/>
        </w:rPr>
        <w:t xml:space="preserve"> returns on funds under investment </w:t>
      </w:r>
      <w:r w:rsidRPr="004261CD">
        <w:rPr>
          <w:rFonts w:ascii="Arial" w:hAnsi="Arial" w:cs="Arial"/>
          <w:sz w:val="22"/>
          <w:szCs w:val="22"/>
          <w:lang w:val="en-GB"/>
        </w:rPr>
        <w:t xml:space="preserve">in the short to medium term within the constraints and risk tolerances established by this </w:t>
      </w:r>
      <w:proofErr w:type="gramStart"/>
      <w:r w:rsidRPr="004261CD">
        <w:rPr>
          <w:rFonts w:ascii="Arial" w:hAnsi="Arial" w:cs="Arial"/>
          <w:sz w:val="22"/>
          <w:szCs w:val="22"/>
          <w:lang w:val="en-GB"/>
        </w:rPr>
        <w:t>Policy;</w:t>
      </w:r>
      <w:proofErr w:type="gramEnd"/>
      <w:r w:rsidRPr="004261CD">
        <w:rPr>
          <w:rFonts w:ascii="Arial" w:hAnsi="Arial" w:cs="Arial"/>
          <w:sz w:val="22"/>
          <w:szCs w:val="22"/>
          <w:lang w:val="en-GB"/>
        </w:rPr>
        <w:t xml:space="preserve"> </w:t>
      </w:r>
    </w:p>
    <w:p w14:paraId="4E8FFA49" w14:textId="074E1F87" w:rsidR="007814F0" w:rsidRPr="004261CD" w:rsidRDefault="00D770EB">
      <w:pPr>
        <w:pStyle w:val="ListParagraph"/>
        <w:numPr>
          <w:ilvl w:val="1"/>
          <w:numId w:val="4"/>
        </w:numPr>
        <w:rPr>
          <w:rFonts w:ascii="Arial" w:hAnsi="Arial" w:cs="Arial"/>
          <w:sz w:val="22"/>
          <w:szCs w:val="22"/>
          <w:lang w:val="en-GB"/>
        </w:rPr>
      </w:pPr>
      <w:r w:rsidRPr="004261CD">
        <w:rPr>
          <w:rFonts w:ascii="Arial" w:hAnsi="Arial" w:cs="Arial"/>
          <w:sz w:val="22"/>
          <w:szCs w:val="22"/>
          <w:lang w:val="en-GB"/>
        </w:rPr>
        <w:t xml:space="preserve">to </w:t>
      </w:r>
      <w:r w:rsidR="008803E2" w:rsidRPr="004261CD">
        <w:rPr>
          <w:rFonts w:ascii="Arial" w:hAnsi="Arial" w:cs="Arial"/>
          <w:sz w:val="22"/>
          <w:szCs w:val="22"/>
          <w:lang w:val="en-GB"/>
        </w:rPr>
        <w:t xml:space="preserve">obtain approval from the </w:t>
      </w:r>
      <w:r w:rsidR="004261CD" w:rsidRPr="004261CD">
        <w:rPr>
          <w:rFonts w:ascii="Arial" w:hAnsi="Arial" w:cs="Arial"/>
          <w:sz w:val="22"/>
          <w:szCs w:val="22"/>
          <w:lang w:val="en-GB"/>
        </w:rPr>
        <w:t>Finance and Resources Committee</w:t>
      </w:r>
      <w:r w:rsidR="008803E2" w:rsidRPr="004261CD">
        <w:rPr>
          <w:rFonts w:ascii="Arial" w:hAnsi="Arial" w:cs="Arial"/>
          <w:sz w:val="22"/>
          <w:szCs w:val="22"/>
          <w:lang w:val="en-GB"/>
        </w:rPr>
        <w:t xml:space="preserve"> and </w:t>
      </w:r>
      <w:r w:rsidR="00D93DBD" w:rsidRPr="004261CD">
        <w:rPr>
          <w:rFonts w:ascii="Arial" w:hAnsi="Arial" w:cs="Arial"/>
          <w:sz w:val="22"/>
          <w:szCs w:val="22"/>
          <w:lang w:val="en-GB"/>
        </w:rPr>
        <w:t>the Governing Body</w:t>
      </w:r>
      <w:r w:rsidR="008803E2" w:rsidRPr="004261CD">
        <w:rPr>
          <w:rFonts w:ascii="Arial" w:hAnsi="Arial" w:cs="Arial"/>
          <w:sz w:val="22"/>
          <w:szCs w:val="22"/>
          <w:lang w:val="en-GB"/>
        </w:rPr>
        <w:t xml:space="preserve"> for the financin</w:t>
      </w:r>
      <w:r w:rsidR="007814F0" w:rsidRPr="004261CD">
        <w:rPr>
          <w:rFonts w:ascii="Arial" w:hAnsi="Arial" w:cs="Arial"/>
          <w:sz w:val="22"/>
          <w:szCs w:val="22"/>
          <w:lang w:val="en-GB"/>
        </w:rPr>
        <w:t>g of capital projects</w:t>
      </w:r>
      <w:r w:rsidR="007C4853" w:rsidRPr="004261CD">
        <w:rPr>
          <w:rFonts w:ascii="Arial" w:hAnsi="Arial" w:cs="Arial"/>
          <w:sz w:val="22"/>
          <w:szCs w:val="22"/>
          <w:lang w:val="en-GB"/>
        </w:rPr>
        <w:t xml:space="preserve"> in accordance with the delegated authority limits as set out in the Financial </w:t>
      </w:r>
      <w:proofErr w:type="gramStart"/>
      <w:r w:rsidR="007C4853" w:rsidRPr="004261CD">
        <w:rPr>
          <w:rFonts w:ascii="Arial" w:hAnsi="Arial" w:cs="Arial"/>
          <w:sz w:val="22"/>
          <w:szCs w:val="22"/>
          <w:lang w:val="en-GB"/>
        </w:rPr>
        <w:t>Regulations</w:t>
      </w:r>
      <w:r w:rsidR="00F925FF" w:rsidRPr="004261CD">
        <w:rPr>
          <w:rFonts w:ascii="Arial" w:hAnsi="Arial" w:cs="Arial"/>
          <w:sz w:val="22"/>
          <w:szCs w:val="22"/>
          <w:lang w:val="en-GB"/>
        </w:rPr>
        <w:t>;</w:t>
      </w:r>
      <w:proofErr w:type="gramEnd"/>
    </w:p>
    <w:p w14:paraId="04819FBC" w14:textId="52A8E308" w:rsidR="007814F0" w:rsidRPr="004261CD" w:rsidRDefault="007814F0">
      <w:pPr>
        <w:pStyle w:val="ListParagraph"/>
        <w:numPr>
          <w:ilvl w:val="1"/>
          <w:numId w:val="4"/>
        </w:numPr>
        <w:rPr>
          <w:rFonts w:ascii="Arial" w:hAnsi="Arial" w:cs="Arial"/>
          <w:sz w:val="22"/>
          <w:szCs w:val="22"/>
          <w:lang w:val="en-GB"/>
        </w:rPr>
      </w:pPr>
      <w:r w:rsidRPr="004261CD">
        <w:rPr>
          <w:rFonts w:ascii="Arial" w:hAnsi="Arial" w:cs="Arial"/>
          <w:sz w:val="22"/>
          <w:szCs w:val="22"/>
          <w:lang w:val="en-GB"/>
        </w:rPr>
        <w:t xml:space="preserve">obtaining approval </w:t>
      </w:r>
      <w:r w:rsidR="005E365D" w:rsidRPr="004261CD">
        <w:rPr>
          <w:rFonts w:ascii="Arial" w:hAnsi="Arial" w:cs="Arial"/>
          <w:sz w:val="22"/>
          <w:szCs w:val="22"/>
          <w:lang w:val="en-GB"/>
        </w:rPr>
        <w:t xml:space="preserve">by the Governing Body </w:t>
      </w:r>
      <w:r w:rsidRPr="004261CD">
        <w:rPr>
          <w:rFonts w:ascii="Arial" w:hAnsi="Arial" w:cs="Arial"/>
          <w:sz w:val="22"/>
          <w:szCs w:val="22"/>
          <w:lang w:val="en-GB"/>
        </w:rPr>
        <w:t>for all borrowin</w:t>
      </w:r>
      <w:r w:rsidR="001753A3">
        <w:rPr>
          <w:rFonts w:ascii="Arial" w:hAnsi="Arial" w:cs="Arial"/>
          <w:sz w:val="22"/>
          <w:szCs w:val="22"/>
          <w:lang w:val="en-GB"/>
        </w:rPr>
        <w:t>g.</w:t>
      </w:r>
    </w:p>
    <w:p w14:paraId="731B42AB" w14:textId="77777777" w:rsidR="001318BD" w:rsidRPr="004261CD" w:rsidRDefault="001318BD" w:rsidP="00252C0A">
      <w:pPr>
        <w:rPr>
          <w:rFonts w:ascii="Arial" w:hAnsi="Arial" w:cs="Arial"/>
          <w:sz w:val="22"/>
          <w:szCs w:val="22"/>
          <w:lang w:val="en-GB"/>
        </w:rPr>
      </w:pPr>
    </w:p>
    <w:p w14:paraId="77D99526" w14:textId="5225AFCF" w:rsidR="007814F0" w:rsidRPr="004261CD" w:rsidRDefault="00704ECE" w:rsidP="001318B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Funds may only be placed</w:t>
      </w:r>
      <w:r w:rsidR="00C043FC" w:rsidRPr="004261CD">
        <w:rPr>
          <w:rFonts w:ascii="Arial" w:hAnsi="Arial" w:cs="Arial"/>
          <w:sz w:val="22"/>
          <w:szCs w:val="22"/>
          <w:lang w:val="en-GB"/>
        </w:rPr>
        <w:t>/</w:t>
      </w:r>
      <w:r w:rsidRPr="004261CD">
        <w:rPr>
          <w:rFonts w:ascii="Arial" w:hAnsi="Arial" w:cs="Arial"/>
          <w:sz w:val="22"/>
          <w:szCs w:val="22"/>
          <w:lang w:val="en-GB"/>
        </w:rPr>
        <w:t xml:space="preserve">invested with institutions approved by the </w:t>
      </w:r>
      <w:r w:rsidR="004261CD" w:rsidRPr="004261CD">
        <w:rPr>
          <w:rFonts w:ascii="Arial" w:hAnsi="Arial" w:cs="Arial"/>
          <w:sz w:val="22"/>
          <w:szCs w:val="22"/>
          <w:lang w:val="en-GB"/>
        </w:rPr>
        <w:t>Finance and Resources Committee</w:t>
      </w:r>
      <w:r w:rsidRPr="004261CD">
        <w:rPr>
          <w:rFonts w:ascii="Arial" w:hAnsi="Arial" w:cs="Arial"/>
          <w:sz w:val="22"/>
          <w:szCs w:val="22"/>
          <w:lang w:val="en-GB"/>
        </w:rPr>
        <w:t xml:space="preserve"> as part of an approved counterparty list, or otherwise directly approved by the Committee. Funds may be invested either directly by the Finance </w:t>
      </w:r>
      <w:r w:rsidR="00900E7F">
        <w:rPr>
          <w:rFonts w:ascii="Arial" w:hAnsi="Arial" w:cs="Arial"/>
          <w:sz w:val="22"/>
          <w:szCs w:val="22"/>
          <w:lang w:val="en-GB"/>
        </w:rPr>
        <w:t>Department</w:t>
      </w:r>
      <w:r w:rsidR="00900E7F" w:rsidRPr="004261CD">
        <w:rPr>
          <w:rFonts w:ascii="Arial" w:hAnsi="Arial" w:cs="Arial"/>
          <w:sz w:val="22"/>
          <w:szCs w:val="22"/>
          <w:lang w:val="en-GB"/>
        </w:rPr>
        <w:t xml:space="preserve"> treasury</w:t>
      </w:r>
      <w:r w:rsidRPr="004261CD">
        <w:rPr>
          <w:rFonts w:ascii="Arial" w:hAnsi="Arial" w:cs="Arial"/>
          <w:sz w:val="22"/>
          <w:szCs w:val="22"/>
          <w:lang w:val="en-GB"/>
        </w:rPr>
        <w:t xml:space="preserve"> management function, or via a </w:t>
      </w:r>
      <w:r w:rsidR="004261CD" w:rsidRPr="004261CD">
        <w:rPr>
          <w:rFonts w:ascii="Arial" w:hAnsi="Arial" w:cs="Arial"/>
          <w:sz w:val="22"/>
          <w:szCs w:val="22"/>
          <w:lang w:val="en-GB"/>
        </w:rPr>
        <w:t>Finance and Resources Committee</w:t>
      </w:r>
      <w:r w:rsidRPr="004261CD">
        <w:rPr>
          <w:rFonts w:ascii="Arial" w:hAnsi="Arial" w:cs="Arial"/>
          <w:sz w:val="22"/>
          <w:szCs w:val="22"/>
          <w:lang w:val="en-GB"/>
        </w:rPr>
        <w:t xml:space="preserve"> approved manager.</w:t>
      </w:r>
    </w:p>
    <w:p w14:paraId="713BDCE5" w14:textId="77777777" w:rsidR="001318BD" w:rsidRPr="004261CD" w:rsidRDefault="001318BD" w:rsidP="001318BD">
      <w:pPr>
        <w:pStyle w:val="ListParagraph"/>
        <w:rPr>
          <w:rFonts w:ascii="Arial" w:hAnsi="Arial" w:cs="Arial"/>
          <w:sz w:val="22"/>
          <w:szCs w:val="22"/>
          <w:lang w:val="en-GB"/>
        </w:rPr>
      </w:pPr>
    </w:p>
    <w:p w14:paraId="20963468" w14:textId="641574C6" w:rsidR="008C43C5" w:rsidRPr="004261CD" w:rsidRDefault="00704ECE" w:rsidP="001318B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University’s banker must be appointed by the </w:t>
      </w:r>
      <w:r w:rsidR="00D93DBD" w:rsidRPr="004261CD">
        <w:rPr>
          <w:rFonts w:ascii="Arial" w:hAnsi="Arial" w:cs="Arial"/>
          <w:sz w:val="22"/>
          <w:szCs w:val="22"/>
          <w:lang w:val="en-GB"/>
        </w:rPr>
        <w:t>Governing Body</w:t>
      </w:r>
      <w:r w:rsidR="00E8272B" w:rsidRPr="004261CD">
        <w:rPr>
          <w:rFonts w:ascii="Arial" w:hAnsi="Arial" w:cs="Arial"/>
          <w:sz w:val="22"/>
          <w:szCs w:val="22"/>
          <w:lang w:val="en-GB"/>
        </w:rPr>
        <w:t xml:space="preserve"> (see 3</w:t>
      </w:r>
      <w:r w:rsidR="00DA70E5" w:rsidRPr="004261CD">
        <w:rPr>
          <w:rFonts w:ascii="Arial" w:hAnsi="Arial" w:cs="Arial"/>
          <w:sz w:val="22"/>
          <w:szCs w:val="22"/>
          <w:lang w:val="en-GB"/>
        </w:rPr>
        <w:t>.7)</w:t>
      </w:r>
      <w:r w:rsidRPr="004261CD">
        <w:rPr>
          <w:rFonts w:ascii="Arial" w:hAnsi="Arial" w:cs="Arial"/>
          <w:sz w:val="22"/>
          <w:szCs w:val="22"/>
          <w:lang w:val="en-GB"/>
        </w:rPr>
        <w:t>.</w:t>
      </w:r>
    </w:p>
    <w:p w14:paraId="3D652CF5" w14:textId="77777777" w:rsidR="001318BD" w:rsidRPr="004261CD" w:rsidRDefault="001318BD" w:rsidP="001318BD">
      <w:pPr>
        <w:pStyle w:val="ListParagraph"/>
        <w:rPr>
          <w:rFonts w:ascii="Arial" w:hAnsi="Arial" w:cs="Arial"/>
          <w:sz w:val="22"/>
          <w:szCs w:val="22"/>
          <w:lang w:val="en-GB"/>
        </w:rPr>
      </w:pPr>
    </w:p>
    <w:p w14:paraId="6D7A8F2A" w14:textId="262DB935" w:rsidR="00B56298" w:rsidRPr="004261CD" w:rsidRDefault="00704ECE" w:rsidP="001318B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establishment of any new banking facility must have the </w:t>
      </w:r>
      <w:r w:rsidR="007D5925" w:rsidRPr="004261CD">
        <w:rPr>
          <w:rFonts w:ascii="Arial" w:hAnsi="Arial" w:cs="Arial"/>
          <w:sz w:val="22"/>
          <w:szCs w:val="22"/>
          <w:lang w:val="en-GB"/>
        </w:rPr>
        <w:t xml:space="preserve">prior </w:t>
      </w:r>
      <w:r w:rsidRPr="004261CD">
        <w:rPr>
          <w:rFonts w:ascii="Arial" w:hAnsi="Arial" w:cs="Arial"/>
          <w:sz w:val="22"/>
          <w:szCs w:val="22"/>
          <w:lang w:val="en-GB"/>
        </w:rPr>
        <w:t xml:space="preserve">approval of University’s </w:t>
      </w:r>
      <w:r w:rsidR="00D93DBD" w:rsidRPr="004261CD">
        <w:rPr>
          <w:rFonts w:ascii="Arial" w:hAnsi="Arial" w:cs="Arial"/>
          <w:sz w:val="22"/>
          <w:szCs w:val="22"/>
          <w:lang w:val="en-GB"/>
        </w:rPr>
        <w:t>Governing Body</w:t>
      </w:r>
      <w:r w:rsidRPr="004261CD">
        <w:rPr>
          <w:rFonts w:ascii="Arial" w:hAnsi="Arial" w:cs="Arial"/>
          <w:sz w:val="22"/>
          <w:szCs w:val="22"/>
          <w:lang w:val="en-GB"/>
        </w:rPr>
        <w:t>.</w:t>
      </w:r>
    </w:p>
    <w:p w14:paraId="11D32822" w14:textId="77777777" w:rsidR="001318BD" w:rsidRPr="004261CD" w:rsidRDefault="001318BD" w:rsidP="001318BD">
      <w:pPr>
        <w:pStyle w:val="ListParagraph"/>
        <w:rPr>
          <w:rFonts w:ascii="Arial" w:hAnsi="Arial" w:cs="Arial"/>
          <w:sz w:val="22"/>
          <w:szCs w:val="22"/>
          <w:lang w:val="en-GB"/>
        </w:rPr>
      </w:pPr>
    </w:p>
    <w:p w14:paraId="6CB76D27" w14:textId="45A97F07" w:rsidR="00486087" w:rsidRPr="004261CD" w:rsidRDefault="00704ECE" w:rsidP="001318B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allocation of funds across the agreed asset classes </w:t>
      </w:r>
      <w:r w:rsidR="00D770EB" w:rsidRPr="004261CD">
        <w:rPr>
          <w:rFonts w:ascii="Arial" w:hAnsi="Arial" w:cs="Arial"/>
          <w:sz w:val="22"/>
          <w:szCs w:val="22"/>
          <w:lang w:val="en-GB"/>
        </w:rPr>
        <w:t>and solutions</w:t>
      </w:r>
      <w:r w:rsidRPr="004261CD">
        <w:rPr>
          <w:rFonts w:ascii="Arial" w:hAnsi="Arial" w:cs="Arial"/>
          <w:sz w:val="22"/>
          <w:szCs w:val="22"/>
          <w:lang w:val="en-GB"/>
        </w:rPr>
        <w:t xml:space="preserve"> must comply with the requirements of this policy.</w:t>
      </w:r>
    </w:p>
    <w:p w14:paraId="11BD6347" w14:textId="77777777" w:rsidR="007814F0" w:rsidRPr="004261CD" w:rsidRDefault="007814F0" w:rsidP="00F77A5A">
      <w:pPr>
        <w:rPr>
          <w:rFonts w:ascii="Arial" w:hAnsi="Arial" w:cs="Arial"/>
          <w:sz w:val="22"/>
          <w:szCs w:val="22"/>
          <w:highlight w:val="yellow"/>
          <w:lang w:val="en-GB"/>
        </w:rPr>
      </w:pPr>
    </w:p>
    <w:p w14:paraId="29966580" w14:textId="48643A51" w:rsidR="00555508" w:rsidRPr="004261CD" w:rsidRDefault="00704ECE" w:rsidP="001D086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Borrowing and other capital financing requirements, including PFI</w:t>
      </w:r>
      <w:r w:rsidR="00EB3722" w:rsidRPr="004261CD">
        <w:rPr>
          <w:rFonts w:ascii="Arial" w:hAnsi="Arial" w:cs="Arial"/>
          <w:sz w:val="22"/>
          <w:szCs w:val="22"/>
          <w:lang w:val="en-GB"/>
        </w:rPr>
        <w:t>/service concession</w:t>
      </w:r>
      <w:r w:rsidRPr="004261CD">
        <w:rPr>
          <w:rFonts w:ascii="Arial" w:hAnsi="Arial" w:cs="Arial"/>
          <w:sz w:val="22"/>
          <w:szCs w:val="22"/>
          <w:lang w:val="en-GB"/>
        </w:rPr>
        <w:t xml:space="preserve"> finance must have the prior approval of the </w:t>
      </w:r>
      <w:r w:rsidR="004261CD" w:rsidRPr="004261CD">
        <w:rPr>
          <w:rFonts w:ascii="Arial" w:hAnsi="Arial" w:cs="Arial"/>
          <w:sz w:val="22"/>
          <w:szCs w:val="22"/>
          <w:lang w:val="en-GB"/>
        </w:rPr>
        <w:t>Finance and Resources Committee</w:t>
      </w:r>
      <w:r w:rsidRPr="004261CD">
        <w:rPr>
          <w:rFonts w:ascii="Arial" w:hAnsi="Arial" w:cs="Arial"/>
          <w:sz w:val="22"/>
          <w:szCs w:val="22"/>
          <w:lang w:val="en-GB"/>
        </w:rPr>
        <w:t xml:space="preserve"> and </w:t>
      </w:r>
      <w:r w:rsidR="00D93DBD" w:rsidRPr="004261CD">
        <w:rPr>
          <w:rFonts w:ascii="Arial" w:hAnsi="Arial" w:cs="Arial"/>
          <w:sz w:val="22"/>
          <w:szCs w:val="22"/>
          <w:lang w:val="en-GB"/>
        </w:rPr>
        <w:t>the Governing Body</w:t>
      </w:r>
      <w:r w:rsidRPr="004261CD">
        <w:rPr>
          <w:rFonts w:ascii="Arial" w:hAnsi="Arial" w:cs="Arial"/>
          <w:sz w:val="22"/>
          <w:szCs w:val="22"/>
          <w:lang w:val="en-GB"/>
        </w:rPr>
        <w:t xml:space="preserve">. Where appropriate the approval of </w:t>
      </w:r>
      <w:r w:rsidR="002C15E0" w:rsidRPr="004261CD">
        <w:rPr>
          <w:rFonts w:ascii="Arial" w:hAnsi="Arial" w:cs="Arial"/>
          <w:sz w:val="22"/>
          <w:szCs w:val="22"/>
          <w:lang w:val="en-GB"/>
        </w:rPr>
        <w:t xml:space="preserve">the OfS </w:t>
      </w:r>
      <w:r w:rsidRPr="004261CD">
        <w:rPr>
          <w:rFonts w:ascii="Arial" w:hAnsi="Arial" w:cs="Arial"/>
          <w:sz w:val="22"/>
          <w:szCs w:val="22"/>
          <w:lang w:val="en-GB"/>
        </w:rPr>
        <w:t>must also be obtained.</w:t>
      </w:r>
    </w:p>
    <w:p w14:paraId="09C096A7" w14:textId="77777777" w:rsidR="00555508" w:rsidRPr="004261CD" w:rsidRDefault="00555508" w:rsidP="001D086D">
      <w:pPr>
        <w:pStyle w:val="ListParagraph"/>
        <w:rPr>
          <w:rFonts w:ascii="Arial" w:hAnsi="Arial" w:cs="Arial"/>
          <w:sz w:val="22"/>
          <w:szCs w:val="22"/>
          <w:lang w:val="en-GB"/>
        </w:rPr>
      </w:pPr>
    </w:p>
    <w:p w14:paraId="3C602C28" w14:textId="60892207" w:rsidR="00555508" w:rsidRPr="004261CD" w:rsidRDefault="00704ECE" w:rsidP="001D086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treasury management function may only be undertaken in the University’s Finance </w:t>
      </w:r>
      <w:r w:rsidR="00900E7F">
        <w:rPr>
          <w:rFonts w:ascii="Arial" w:hAnsi="Arial" w:cs="Arial"/>
          <w:sz w:val="22"/>
          <w:szCs w:val="22"/>
          <w:lang w:val="en-GB"/>
        </w:rPr>
        <w:t xml:space="preserve">Department </w:t>
      </w:r>
      <w:r w:rsidRPr="004261CD">
        <w:rPr>
          <w:rFonts w:ascii="Arial" w:hAnsi="Arial" w:cs="Arial"/>
          <w:sz w:val="22"/>
          <w:szCs w:val="22"/>
          <w:lang w:val="en-GB"/>
        </w:rPr>
        <w:t xml:space="preserve">under the oversight of the </w:t>
      </w:r>
      <w:r w:rsidR="001D2776">
        <w:rPr>
          <w:rFonts w:ascii="Arial" w:hAnsi="Arial" w:cs="Arial"/>
          <w:sz w:val="22"/>
          <w:szCs w:val="22"/>
          <w:lang w:val="en-GB"/>
        </w:rPr>
        <w:t>Chief Operating Officer</w:t>
      </w:r>
      <w:r w:rsidRPr="004261CD">
        <w:rPr>
          <w:rFonts w:ascii="Arial" w:hAnsi="Arial" w:cs="Arial"/>
          <w:sz w:val="22"/>
          <w:szCs w:val="22"/>
          <w:lang w:val="en-GB"/>
        </w:rPr>
        <w:t xml:space="preserve">. Treasury activities </w:t>
      </w:r>
      <w:r w:rsidR="000156A1" w:rsidRPr="004261CD">
        <w:rPr>
          <w:rFonts w:ascii="Arial" w:hAnsi="Arial" w:cs="Arial"/>
          <w:sz w:val="22"/>
          <w:szCs w:val="22"/>
          <w:lang w:val="en-GB"/>
        </w:rPr>
        <w:t xml:space="preserve">must </w:t>
      </w:r>
      <w:r w:rsidRPr="004261CD">
        <w:rPr>
          <w:rFonts w:ascii="Arial" w:hAnsi="Arial" w:cs="Arial"/>
          <w:sz w:val="22"/>
          <w:szCs w:val="22"/>
          <w:lang w:val="en-GB"/>
        </w:rPr>
        <w:t>comply with the financial regulations and the requirements of this policy.</w:t>
      </w:r>
    </w:p>
    <w:p w14:paraId="508AC9CE" w14:textId="77777777" w:rsidR="007814F0" w:rsidRPr="004261CD" w:rsidRDefault="007814F0" w:rsidP="001D086D">
      <w:pPr>
        <w:ind w:left="792"/>
        <w:rPr>
          <w:rFonts w:ascii="Arial" w:hAnsi="Arial" w:cs="Arial"/>
          <w:sz w:val="22"/>
          <w:szCs w:val="22"/>
          <w:lang w:val="en-GB"/>
        </w:rPr>
      </w:pPr>
    </w:p>
    <w:p w14:paraId="776CC46A" w14:textId="73D96BB0" w:rsidR="007814F0" w:rsidRPr="004261CD" w:rsidRDefault="001A0E7C" w:rsidP="001D086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w:t>
      </w:r>
      <w:r w:rsidR="00252C0A">
        <w:rPr>
          <w:rFonts w:ascii="Arial" w:hAnsi="Arial" w:cs="Arial"/>
          <w:sz w:val="22"/>
          <w:szCs w:val="22"/>
          <w:lang w:val="en-GB"/>
        </w:rPr>
        <w:t xml:space="preserve">Chief Operating Officer </w:t>
      </w:r>
      <w:r w:rsidRPr="004261CD">
        <w:rPr>
          <w:rFonts w:ascii="Arial" w:hAnsi="Arial" w:cs="Arial"/>
          <w:sz w:val="22"/>
          <w:szCs w:val="22"/>
          <w:lang w:val="en-GB"/>
        </w:rPr>
        <w:t xml:space="preserve">shall submit to the </w:t>
      </w:r>
      <w:r w:rsidR="004261CD" w:rsidRPr="004261CD">
        <w:rPr>
          <w:rFonts w:ascii="Arial" w:hAnsi="Arial" w:cs="Arial"/>
          <w:sz w:val="22"/>
          <w:szCs w:val="22"/>
          <w:lang w:val="en-GB"/>
        </w:rPr>
        <w:t>Finance and Resources Committee</w:t>
      </w:r>
      <w:r w:rsidRPr="004261CD">
        <w:rPr>
          <w:rFonts w:ascii="Arial" w:hAnsi="Arial" w:cs="Arial"/>
          <w:sz w:val="22"/>
          <w:szCs w:val="22"/>
          <w:lang w:val="en-GB"/>
        </w:rPr>
        <w:t xml:space="preserve"> for approval an annual treasury management plan, together with </w:t>
      </w:r>
      <w:r w:rsidR="00D21F8C" w:rsidRPr="004261CD">
        <w:rPr>
          <w:rFonts w:ascii="Arial" w:hAnsi="Arial" w:cs="Arial"/>
          <w:sz w:val="22"/>
          <w:szCs w:val="22"/>
          <w:lang w:val="en-GB"/>
        </w:rPr>
        <w:t>updates</w:t>
      </w:r>
      <w:r w:rsidR="005F701C" w:rsidRPr="004261CD">
        <w:rPr>
          <w:rFonts w:ascii="Arial" w:hAnsi="Arial" w:cs="Arial"/>
          <w:sz w:val="22"/>
          <w:szCs w:val="22"/>
          <w:lang w:val="en-GB"/>
        </w:rPr>
        <w:t xml:space="preserve"> on progress against the plan within the </w:t>
      </w:r>
      <w:r w:rsidR="00A86622">
        <w:rPr>
          <w:rFonts w:ascii="Arial" w:hAnsi="Arial" w:cs="Arial"/>
          <w:sz w:val="22"/>
          <w:szCs w:val="22"/>
          <w:lang w:val="en-GB"/>
        </w:rPr>
        <w:t>Financial Management Report – quarterly forecasts</w:t>
      </w:r>
      <w:r w:rsidR="00966C49" w:rsidRPr="004261CD">
        <w:rPr>
          <w:rFonts w:ascii="Arial" w:hAnsi="Arial" w:cs="Arial"/>
          <w:sz w:val="22"/>
          <w:szCs w:val="22"/>
          <w:lang w:val="en-GB"/>
        </w:rPr>
        <w:t>.</w:t>
      </w:r>
    </w:p>
    <w:p w14:paraId="22B81BE2" w14:textId="77777777" w:rsidR="007814F0" w:rsidRPr="004261CD" w:rsidRDefault="007814F0" w:rsidP="001D086D">
      <w:pPr>
        <w:pStyle w:val="ListParagraph"/>
        <w:rPr>
          <w:rFonts w:ascii="Arial" w:hAnsi="Arial" w:cs="Arial"/>
          <w:sz w:val="22"/>
          <w:szCs w:val="22"/>
          <w:lang w:val="en-GB"/>
        </w:rPr>
      </w:pPr>
    </w:p>
    <w:p w14:paraId="0C126CDE" w14:textId="38853DF5" w:rsidR="00F71592" w:rsidRDefault="001A0E7C" w:rsidP="001D086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This policy is applicable to the University and was approved by the University’s </w:t>
      </w:r>
      <w:r w:rsidR="00D93DBD" w:rsidRPr="004261CD">
        <w:rPr>
          <w:rFonts w:ascii="Arial" w:hAnsi="Arial" w:cs="Arial"/>
          <w:sz w:val="22"/>
          <w:szCs w:val="22"/>
          <w:lang w:val="en-GB"/>
        </w:rPr>
        <w:t>Governing Body</w:t>
      </w:r>
      <w:r w:rsidRPr="004261CD">
        <w:rPr>
          <w:rFonts w:ascii="Arial" w:hAnsi="Arial" w:cs="Arial"/>
          <w:sz w:val="22"/>
          <w:szCs w:val="22"/>
          <w:lang w:val="en-GB"/>
        </w:rPr>
        <w:t xml:space="preserve"> </w:t>
      </w:r>
      <w:r w:rsidR="00A86622">
        <w:rPr>
          <w:rFonts w:ascii="Arial" w:hAnsi="Arial" w:cs="Arial"/>
          <w:sz w:val="22"/>
          <w:szCs w:val="22"/>
          <w:lang w:val="en-GB"/>
        </w:rPr>
        <w:t xml:space="preserve">on 23 </w:t>
      </w:r>
      <w:r w:rsidR="004E4E75" w:rsidRPr="004261CD">
        <w:rPr>
          <w:rFonts w:ascii="Arial" w:hAnsi="Arial" w:cs="Arial"/>
          <w:sz w:val="22"/>
          <w:szCs w:val="22"/>
          <w:lang w:val="en-GB"/>
        </w:rPr>
        <w:t xml:space="preserve">November </w:t>
      </w:r>
      <w:r w:rsidR="00C10242" w:rsidRPr="004261CD">
        <w:rPr>
          <w:rFonts w:ascii="Arial" w:hAnsi="Arial" w:cs="Arial"/>
          <w:sz w:val="22"/>
          <w:szCs w:val="22"/>
          <w:lang w:val="en-GB"/>
        </w:rPr>
        <w:t>202</w:t>
      </w:r>
      <w:r w:rsidR="00A86622">
        <w:rPr>
          <w:rFonts w:ascii="Arial" w:hAnsi="Arial" w:cs="Arial"/>
          <w:sz w:val="22"/>
          <w:szCs w:val="22"/>
          <w:lang w:val="en-GB"/>
        </w:rPr>
        <w:t>2</w:t>
      </w:r>
      <w:r w:rsidR="004E4E75" w:rsidRPr="004261CD">
        <w:rPr>
          <w:rFonts w:ascii="Arial" w:hAnsi="Arial" w:cs="Arial"/>
          <w:sz w:val="22"/>
          <w:szCs w:val="22"/>
          <w:lang w:val="en-GB"/>
        </w:rPr>
        <w:t>.</w:t>
      </w:r>
    </w:p>
    <w:p w14:paraId="2B7195B9" w14:textId="77777777" w:rsidR="00EB67D7" w:rsidRDefault="00EB67D7" w:rsidP="00EB67D7">
      <w:pPr>
        <w:pStyle w:val="ListParagraph"/>
        <w:rPr>
          <w:rFonts w:ascii="Arial" w:hAnsi="Arial" w:cs="Arial"/>
          <w:sz w:val="22"/>
          <w:szCs w:val="22"/>
          <w:lang w:val="en-GB"/>
        </w:rPr>
      </w:pPr>
    </w:p>
    <w:p w14:paraId="0B6E8F06" w14:textId="77777777" w:rsidR="00EB67D7" w:rsidRDefault="00EB67D7" w:rsidP="00EB67D7">
      <w:pPr>
        <w:tabs>
          <w:tab w:val="num" w:pos="1283"/>
        </w:tabs>
        <w:rPr>
          <w:rFonts w:ascii="Arial" w:hAnsi="Arial" w:cs="Arial"/>
          <w:sz w:val="22"/>
          <w:szCs w:val="22"/>
          <w:lang w:val="en-GB"/>
        </w:rPr>
      </w:pPr>
    </w:p>
    <w:p w14:paraId="24BE56BC" w14:textId="77777777" w:rsidR="00EB67D7" w:rsidRDefault="00EB67D7" w:rsidP="00EB67D7">
      <w:pPr>
        <w:tabs>
          <w:tab w:val="num" w:pos="1283"/>
        </w:tabs>
        <w:rPr>
          <w:rFonts w:ascii="Arial" w:hAnsi="Arial" w:cs="Arial"/>
          <w:sz w:val="22"/>
          <w:szCs w:val="22"/>
          <w:lang w:val="en-GB"/>
        </w:rPr>
      </w:pPr>
    </w:p>
    <w:p w14:paraId="41E9F862" w14:textId="6932C048" w:rsidR="1DD2B8A2" w:rsidRDefault="1DD2B8A2" w:rsidP="00EB67D7">
      <w:pPr>
        <w:rPr>
          <w:rFonts w:ascii="Arial" w:hAnsi="Arial" w:cs="Arial"/>
          <w:sz w:val="22"/>
          <w:szCs w:val="22"/>
          <w:lang w:val="en-GB"/>
        </w:rPr>
      </w:pPr>
    </w:p>
    <w:p w14:paraId="219C4C7F" w14:textId="77777777" w:rsidR="00011FE6" w:rsidRDefault="00011FE6" w:rsidP="00EB67D7">
      <w:pPr>
        <w:tabs>
          <w:tab w:val="num" w:pos="1283"/>
        </w:tabs>
        <w:rPr>
          <w:rFonts w:ascii="Arial" w:hAnsi="Arial" w:cs="Arial"/>
          <w:sz w:val="22"/>
          <w:szCs w:val="22"/>
          <w:lang w:val="en-GB"/>
        </w:rPr>
      </w:pPr>
    </w:p>
    <w:p w14:paraId="39E74A3B" w14:textId="77777777" w:rsidR="00E540A1" w:rsidRPr="004261CD" w:rsidRDefault="00E540A1" w:rsidP="00123D79">
      <w:pPr>
        <w:rPr>
          <w:rFonts w:ascii="Arial" w:hAnsi="Arial" w:cs="Arial"/>
          <w:sz w:val="22"/>
          <w:szCs w:val="22"/>
          <w:lang w:val="en-GB"/>
        </w:rPr>
      </w:pPr>
    </w:p>
    <w:p w14:paraId="479F0B86" w14:textId="77777777" w:rsidR="008E7181" w:rsidRPr="004261CD" w:rsidRDefault="008E7181" w:rsidP="008E7181">
      <w:pPr>
        <w:numPr>
          <w:ilvl w:val="0"/>
          <w:numId w:val="1"/>
        </w:numPr>
        <w:tabs>
          <w:tab w:val="left" w:pos="993"/>
        </w:tabs>
        <w:ind w:firstLine="0"/>
        <w:rPr>
          <w:rFonts w:ascii="Arial" w:hAnsi="Arial" w:cs="Arial"/>
          <w:b/>
          <w:sz w:val="22"/>
          <w:szCs w:val="22"/>
          <w:lang w:val="en-GB"/>
        </w:rPr>
      </w:pPr>
      <w:r w:rsidRPr="004261CD">
        <w:rPr>
          <w:rFonts w:ascii="Arial" w:hAnsi="Arial" w:cs="Arial"/>
          <w:b/>
          <w:sz w:val="22"/>
          <w:szCs w:val="22"/>
          <w:lang w:val="en-GB"/>
        </w:rPr>
        <w:lastRenderedPageBreak/>
        <w:t>Cash Management</w:t>
      </w:r>
    </w:p>
    <w:p w14:paraId="14DC1FBF" w14:textId="77777777" w:rsidR="00F825C9" w:rsidRPr="004261CD" w:rsidRDefault="00F825C9" w:rsidP="00F825C9">
      <w:pPr>
        <w:rPr>
          <w:rFonts w:ascii="Arial" w:hAnsi="Arial" w:cs="Arial"/>
          <w:sz w:val="22"/>
          <w:szCs w:val="22"/>
          <w:lang w:val="en-GB"/>
        </w:rPr>
      </w:pPr>
    </w:p>
    <w:p w14:paraId="5BBAAC0A" w14:textId="2F6A6798" w:rsidR="00EB3D1A" w:rsidRPr="004261CD" w:rsidRDefault="009536B4" w:rsidP="001318BD">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Cash management </w:t>
      </w:r>
      <w:r w:rsidR="00FC6B52" w:rsidRPr="004261CD">
        <w:rPr>
          <w:rFonts w:ascii="Arial" w:hAnsi="Arial" w:cs="Arial"/>
          <w:sz w:val="22"/>
          <w:szCs w:val="22"/>
          <w:lang w:val="en-GB"/>
        </w:rPr>
        <w:t xml:space="preserve">is aimed </w:t>
      </w:r>
      <w:r w:rsidR="00CF12FB" w:rsidRPr="004261CD">
        <w:rPr>
          <w:rFonts w:ascii="Arial" w:hAnsi="Arial" w:cs="Arial"/>
          <w:sz w:val="22"/>
          <w:szCs w:val="22"/>
          <w:lang w:val="en-GB"/>
        </w:rPr>
        <w:t>at: -</w:t>
      </w:r>
    </w:p>
    <w:p w14:paraId="2366EAAE" w14:textId="13CC7049" w:rsidR="00EB3D1A" w:rsidRPr="004261CD" w:rsidRDefault="0016129F">
      <w:pPr>
        <w:pStyle w:val="ListParagraph"/>
        <w:numPr>
          <w:ilvl w:val="0"/>
          <w:numId w:val="5"/>
        </w:numPr>
        <w:rPr>
          <w:rFonts w:ascii="Arial" w:hAnsi="Arial" w:cs="Arial"/>
          <w:sz w:val="22"/>
          <w:szCs w:val="22"/>
          <w:lang w:val="en-GB"/>
        </w:rPr>
      </w:pPr>
      <w:r w:rsidRPr="004261CD">
        <w:rPr>
          <w:rFonts w:ascii="Arial" w:hAnsi="Arial" w:cs="Arial"/>
          <w:sz w:val="22"/>
          <w:szCs w:val="22"/>
          <w:lang w:val="en-GB"/>
        </w:rPr>
        <w:t>ensur</w:t>
      </w:r>
      <w:r w:rsidR="00FC6B52" w:rsidRPr="004261CD">
        <w:rPr>
          <w:rFonts w:ascii="Arial" w:hAnsi="Arial" w:cs="Arial"/>
          <w:sz w:val="22"/>
          <w:szCs w:val="22"/>
          <w:lang w:val="en-GB"/>
        </w:rPr>
        <w:t>ing</w:t>
      </w:r>
      <w:r w:rsidRPr="004261CD">
        <w:rPr>
          <w:rFonts w:ascii="Arial" w:hAnsi="Arial" w:cs="Arial"/>
          <w:sz w:val="22"/>
          <w:szCs w:val="22"/>
          <w:lang w:val="en-GB"/>
        </w:rPr>
        <w:t xml:space="preserve"> t</w:t>
      </w:r>
      <w:r w:rsidR="00EB3D1A" w:rsidRPr="004261CD">
        <w:rPr>
          <w:rFonts w:ascii="Arial" w:hAnsi="Arial" w:cs="Arial"/>
          <w:sz w:val="22"/>
          <w:szCs w:val="22"/>
          <w:lang w:val="en-GB"/>
        </w:rPr>
        <w:t>he timely receipt of fund</w:t>
      </w:r>
      <w:r w:rsidR="002D406B" w:rsidRPr="004261CD">
        <w:rPr>
          <w:rFonts w:ascii="Arial" w:hAnsi="Arial" w:cs="Arial"/>
          <w:sz w:val="22"/>
          <w:szCs w:val="22"/>
          <w:lang w:val="en-GB"/>
        </w:rPr>
        <w:t>s</w:t>
      </w:r>
      <w:r w:rsidR="00EB3D1A" w:rsidRPr="004261CD">
        <w:rPr>
          <w:rFonts w:ascii="Arial" w:hAnsi="Arial" w:cs="Arial"/>
          <w:sz w:val="22"/>
          <w:szCs w:val="22"/>
          <w:lang w:val="en-GB"/>
        </w:rPr>
        <w:t xml:space="preserve"> </w:t>
      </w:r>
      <w:r w:rsidRPr="004261CD">
        <w:rPr>
          <w:rFonts w:ascii="Arial" w:hAnsi="Arial" w:cs="Arial"/>
          <w:sz w:val="22"/>
          <w:szCs w:val="22"/>
          <w:lang w:val="en-GB"/>
        </w:rPr>
        <w:t xml:space="preserve">due to the </w:t>
      </w:r>
      <w:proofErr w:type="gramStart"/>
      <w:r w:rsidRPr="004261CD">
        <w:rPr>
          <w:rFonts w:ascii="Arial" w:hAnsi="Arial" w:cs="Arial"/>
          <w:sz w:val="22"/>
          <w:szCs w:val="22"/>
          <w:lang w:val="en-GB"/>
        </w:rPr>
        <w:t>University;</w:t>
      </w:r>
      <w:proofErr w:type="gramEnd"/>
    </w:p>
    <w:p w14:paraId="3E45D008" w14:textId="2E6909A7" w:rsidR="001318BD" w:rsidRPr="004261CD" w:rsidRDefault="0016129F">
      <w:pPr>
        <w:pStyle w:val="ListParagraph"/>
        <w:numPr>
          <w:ilvl w:val="0"/>
          <w:numId w:val="5"/>
        </w:numPr>
        <w:rPr>
          <w:rFonts w:ascii="Arial" w:hAnsi="Arial" w:cs="Arial"/>
          <w:sz w:val="22"/>
          <w:szCs w:val="22"/>
          <w:lang w:val="en-GB"/>
        </w:rPr>
      </w:pPr>
      <w:r w:rsidRPr="004261CD">
        <w:rPr>
          <w:rFonts w:ascii="Arial" w:hAnsi="Arial" w:cs="Arial"/>
          <w:sz w:val="22"/>
          <w:szCs w:val="22"/>
          <w:lang w:val="en-GB"/>
        </w:rPr>
        <w:t>ensur</w:t>
      </w:r>
      <w:r w:rsidR="00FC6B52" w:rsidRPr="004261CD">
        <w:rPr>
          <w:rFonts w:ascii="Arial" w:hAnsi="Arial" w:cs="Arial"/>
          <w:sz w:val="22"/>
          <w:szCs w:val="22"/>
          <w:lang w:val="en-GB"/>
        </w:rPr>
        <w:t>ing</w:t>
      </w:r>
      <w:r w:rsidRPr="004261CD">
        <w:rPr>
          <w:rFonts w:ascii="Arial" w:hAnsi="Arial" w:cs="Arial"/>
          <w:sz w:val="22"/>
          <w:szCs w:val="22"/>
          <w:lang w:val="en-GB"/>
        </w:rPr>
        <w:t xml:space="preserve"> that sufficient </w:t>
      </w:r>
      <w:r w:rsidR="00A878F4" w:rsidRPr="004261CD">
        <w:rPr>
          <w:rFonts w:ascii="Arial" w:hAnsi="Arial" w:cs="Arial"/>
          <w:sz w:val="22"/>
          <w:szCs w:val="22"/>
          <w:lang w:val="en-GB"/>
        </w:rPr>
        <w:t>funds are available to meet commitments as they fall due</w:t>
      </w:r>
      <w:r w:rsidRPr="004261CD">
        <w:rPr>
          <w:rFonts w:ascii="Arial" w:hAnsi="Arial" w:cs="Arial"/>
          <w:sz w:val="22"/>
          <w:szCs w:val="22"/>
          <w:lang w:val="en-GB"/>
        </w:rPr>
        <w:t>,</w:t>
      </w:r>
      <w:r w:rsidR="00A878F4" w:rsidRPr="004261CD">
        <w:rPr>
          <w:rFonts w:ascii="Arial" w:hAnsi="Arial" w:cs="Arial"/>
          <w:sz w:val="22"/>
          <w:szCs w:val="22"/>
          <w:lang w:val="en-GB"/>
        </w:rPr>
        <w:t xml:space="preserve"> and</w:t>
      </w:r>
    </w:p>
    <w:p w14:paraId="174A8CF0" w14:textId="7F95AA14" w:rsidR="00F825C9" w:rsidRPr="004261CD" w:rsidRDefault="00A878F4">
      <w:pPr>
        <w:pStyle w:val="ListParagraph"/>
        <w:numPr>
          <w:ilvl w:val="0"/>
          <w:numId w:val="5"/>
        </w:numPr>
        <w:rPr>
          <w:rFonts w:ascii="Arial" w:hAnsi="Arial" w:cs="Arial"/>
          <w:sz w:val="22"/>
          <w:szCs w:val="22"/>
          <w:lang w:val="en-GB"/>
        </w:rPr>
      </w:pPr>
      <w:r w:rsidRPr="004261CD">
        <w:rPr>
          <w:rFonts w:ascii="Arial" w:hAnsi="Arial" w:cs="Arial"/>
          <w:sz w:val="22"/>
          <w:szCs w:val="22"/>
          <w:lang w:val="en-GB"/>
        </w:rPr>
        <w:t>maxi</w:t>
      </w:r>
      <w:r w:rsidR="0016129F" w:rsidRPr="004261CD">
        <w:rPr>
          <w:rFonts w:ascii="Arial" w:hAnsi="Arial" w:cs="Arial"/>
          <w:sz w:val="22"/>
          <w:szCs w:val="22"/>
          <w:lang w:val="en-GB"/>
        </w:rPr>
        <w:t>mis</w:t>
      </w:r>
      <w:r w:rsidR="00FC6B52" w:rsidRPr="004261CD">
        <w:rPr>
          <w:rFonts w:ascii="Arial" w:hAnsi="Arial" w:cs="Arial"/>
          <w:sz w:val="22"/>
          <w:szCs w:val="22"/>
          <w:lang w:val="en-GB"/>
        </w:rPr>
        <w:t>ing</w:t>
      </w:r>
      <w:r w:rsidRPr="004261CD">
        <w:rPr>
          <w:rFonts w:ascii="Arial" w:hAnsi="Arial" w:cs="Arial"/>
          <w:sz w:val="22"/>
          <w:szCs w:val="22"/>
          <w:lang w:val="en-GB"/>
        </w:rPr>
        <w:t xml:space="preserve"> </w:t>
      </w:r>
      <w:r w:rsidR="009536B4" w:rsidRPr="004261CD">
        <w:rPr>
          <w:rFonts w:ascii="Arial" w:hAnsi="Arial" w:cs="Arial"/>
          <w:sz w:val="22"/>
          <w:szCs w:val="22"/>
          <w:lang w:val="en-GB"/>
        </w:rPr>
        <w:t xml:space="preserve">funds available </w:t>
      </w:r>
      <w:r w:rsidRPr="004261CD">
        <w:rPr>
          <w:rFonts w:ascii="Arial" w:hAnsi="Arial" w:cs="Arial"/>
          <w:sz w:val="22"/>
          <w:szCs w:val="22"/>
          <w:lang w:val="en-GB"/>
        </w:rPr>
        <w:t>for</w:t>
      </w:r>
      <w:r w:rsidR="009536B4" w:rsidRPr="004261CD">
        <w:rPr>
          <w:rFonts w:ascii="Arial" w:hAnsi="Arial" w:cs="Arial"/>
          <w:sz w:val="22"/>
          <w:szCs w:val="22"/>
          <w:lang w:val="en-GB"/>
        </w:rPr>
        <w:t xml:space="preserve"> invest</w:t>
      </w:r>
      <w:r w:rsidRPr="004261CD">
        <w:rPr>
          <w:rFonts w:ascii="Arial" w:hAnsi="Arial" w:cs="Arial"/>
          <w:sz w:val="22"/>
          <w:szCs w:val="22"/>
          <w:lang w:val="en-GB"/>
        </w:rPr>
        <w:t>ment.</w:t>
      </w:r>
    </w:p>
    <w:p w14:paraId="220D9859" w14:textId="77777777" w:rsidR="003E6B13" w:rsidRPr="004261CD" w:rsidRDefault="003E6B13" w:rsidP="003E6B13">
      <w:pPr>
        <w:rPr>
          <w:rFonts w:ascii="Arial" w:hAnsi="Arial" w:cs="Arial"/>
          <w:sz w:val="22"/>
          <w:szCs w:val="22"/>
          <w:lang w:val="en-GB"/>
        </w:rPr>
      </w:pPr>
    </w:p>
    <w:p w14:paraId="7E9A5AE8" w14:textId="77777777" w:rsidR="003222D8" w:rsidRPr="004261CD" w:rsidRDefault="003222D8" w:rsidP="00140C3B">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The University shall ensure that all debts are colle</w:t>
      </w:r>
      <w:r w:rsidR="00995438" w:rsidRPr="004261CD">
        <w:rPr>
          <w:rFonts w:ascii="Arial" w:hAnsi="Arial" w:cs="Arial"/>
          <w:sz w:val="22"/>
          <w:szCs w:val="22"/>
          <w:lang w:val="en-GB"/>
        </w:rPr>
        <w:t>c</w:t>
      </w:r>
      <w:r w:rsidRPr="004261CD">
        <w:rPr>
          <w:rFonts w:ascii="Arial" w:hAnsi="Arial" w:cs="Arial"/>
          <w:sz w:val="22"/>
          <w:szCs w:val="22"/>
          <w:lang w:val="en-GB"/>
        </w:rPr>
        <w:t>ted in a timely manner and creditors are paid in the most efficient manner when it is optimal to do so.</w:t>
      </w:r>
    </w:p>
    <w:p w14:paraId="029E688D" w14:textId="77777777" w:rsidR="00140C3B" w:rsidRPr="004261CD" w:rsidRDefault="00140C3B" w:rsidP="00140C3B">
      <w:pPr>
        <w:ind w:left="993"/>
        <w:rPr>
          <w:rFonts w:ascii="Arial" w:hAnsi="Arial" w:cs="Arial"/>
          <w:sz w:val="22"/>
          <w:szCs w:val="22"/>
          <w:lang w:val="en-GB"/>
        </w:rPr>
      </w:pPr>
    </w:p>
    <w:p w14:paraId="121D9CDA" w14:textId="3FAEFDCF" w:rsidR="003E6B13" w:rsidRPr="004261CD" w:rsidRDefault="003E6B13" w:rsidP="00140C3B">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The University shall produce</w:t>
      </w:r>
      <w:r w:rsidR="00F77A5A">
        <w:rPr>
          <w:rFonts w:ascii="Arial" w:hAnsi="Arial" w:cs="Arial"/>
          <w:sz w:val="22"/>
          <w:szCs w:val="22"/>
          <w:lang w:val="en-GB"/>
        </w:rPr>
        <w:t xml:space="preserve"> </w:t>
      </w:r>
      <w:r w:rsidR="00FC6B52" w:rsidRPr="004261CD">
        <w:rPr>
          <w:rFonts w:ascii="Arial" w:hAnsi="Arial" w:cs="Arial"/>
          <w:sz w:val="22"/>
          <w:szCs w:val="22"/>
          <w:lang w:val="en-GB"/>
        </w:rPr>
        <w:t xml:space="preserve">quarterly and annual </w:t>
      </w:r>
      <w:r w:rsidRPr="004261CD">
        <w:rPr>
          <w:rFonts w:ascii="Arial" w:hAnsi="Arial" w:cs="Arial"/>
          <w:sz w:val="22"/>
          <w:szCs w:val="22"/>
          <w:lang w:val="en-GB"/>
        </w:rPr>
        <w:t>cash forecast</w:t>
      </w:r>
      <w:r w:rsidR="007814F0" w:rsidRPr="004261CD">
        <w:rPr>
          <w:rFonts w:ascii="Arial" w:hAnsi="Arial" w:cs="Arial"/>
          <w:sz w:val="22"/>
          <w:szCs w:val="22"/>
          <w:lang w:val="en-GB"/>
        </w:rPr>
        <w:t>s</w:t>
      </w:r>
      <w:r w:rsidRPr="004261CD">
        <w:rPr>
          <w:rFonts w:ascii="Arial" w:hAnsi="Arial" w:cs="Arial"/>
          <w:sz w:val="22"/>
          <w:szCs w:val="22"/>
          <w:lang w:val="en-GB"/>
        </w:rPr>
        <w:t xml:space="preserve"> to identify the availability of funds for investment. </w:t>
      </w:r>
      <w:r w:rsidR="00704ECE" w:rsidRPr="004261CD">
        <w:rPr>
          <w:rFonts w:ascii="Arial" w:hAnsi="Arial" w:cs="Arial"/>
          <w:sz w:val="22"/>
          <w:szCs w:val="22"/>
          <w:lang w:val="en-GB"/>
        </w:rPr>
        <w:t>It must also make estimates of funds available for shorter periods (</w:t>
      </w:r>
      <w:r w:rsidR="00900E7F" w:rsidRPr="004261CD">
        <w:rPr>
          <w:rFonts w:ascii="Arial" w:hAnsi="Arial" w:cs="Arial"/>
          <w:sz w:val="22"/>
          <w:szCs w:val="22"/>
          <w:lang w:val="en-GB"/>
        </w:rPr>
        <w:t>e.g.,</w:t>
      </w:r>
      <w:r w:rsidR="00704ECE" w:rsidRPr="004261CD">
        <w:rPr>
          <w:rFonts w:ascii="Arial" w:hAnsi="Arial" w:cs="Arial"/>
          <w:sz w:val="22"/>
          <w:szCs w:val="22"/>
          <w:lang w:val="en-GB"/>
        </w:rPr>
        <w:t xml:space="preserve"> overnight) to maximise funds placed under investment.</w:t>
      </w:r>
    </w:p>
    <w:p w14:paraId="15171072" w14:textId="77777777" w:rsidR="00140C3B" w:rsidRPr="004261CD" w:rsidRDefault="00140C3B" w:rsidP="00140C3B">
      <w:pPr>
        <w:pStyle w:val="ListParagraph"/>
        <w:rPr>
          <w:rFonts w:ascii="Arial" w:hAnsi="Arial" w:cs="Arial"/>
          <w:sz w:val="22"/>
          <w:szCs w:val="22"/>
          <w:lang w:val="en-GB"/>
        </w:rPr>
      </w:pPr>
    </w:p>
    <w:p w14:paraId="30DEA734" w14:textId="77777777" w:rsidR="003222D8" w:rsidRPr="004261CD" w:rsidRDefault="0016129F" w:rsidP="00140C3B">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A</w:t>
      </w:r>
      <w:r w:rsidR="001F07B2" w:rsidRPr="004261CD">
        <w:rPr>
          <w:rFonts w:ascii="Arial" w:hAnsi="Arial" w:cs="Arial"/>
          <w:sz w:val="22"/>
          <w:szCs w:val="22"/>
          <w:lang w:val="en-GB"/>
        </w:rPr>
        <w:t>dequate information on</w:t>
      </w:r>
      <w:r w:rsidRPr="004261CD">
        <w:rPr>
          <w:rFonts w:ascii="Arial" w:hAnsi="Arial" w:cs="Arial"/>
          <w:sz w:val="22"/>
          <w:szCs w:val="22"/>
          <w:lang w:val="en-GB"/>
        </w:rPr>
        <w:t xml:space="preserve"> investment</w:t>
      </w:r>
      <w:r w:rsidR="001F07B2" w:rsidRPr="004261CD">
        <w:rPr>
          <w:rFonts w:ascii="Arial" w:hAnsi="Arial" w:cs="Arial"/>
          <w:sz w:val="22"/>
          <w:szCs w:val="22"/>
          <w:lang w:val="en-GB"/>
        </w:rPr>
        <w:t xml:space="preserve"> rates </w:t>
      </w:r>
      <w:r w:rsidRPr="004261CD">
        <w:rPr>
          <w:rFonts w:ascii="Arial" w:hAnsi="Arial" w:cs="Arial"/>
          <w:sz w:val="22"/>
          <w:szCs w:val="22"/>
          <w:lang w:val="en-GB"/>
        </w:rPr>
        <w:t>must be obtained</w:t>
      </w:r>
      <w:r w:rsidR="00136250" w:rsidRPr="004261CD">
        <w:rPr>
          <w:rFonts w:ascii="Arial" w:hAnsi="Arial" w:cs="Arial"/>
          <w:sz w:val="22"/>
          <w:szCs w:val="22"/>
          <w:lang w:val="en-GB"/>
        </w:rPr>
        <w:t xml:space="preserve"> by the treasury management</w:t>
      </w:r>
      <w:r w:rsidR="00FC6B52" w:rsidRPr="004261CD">
        <w:rPr>
          <w:rFonts w:ascii="Arial" w:hAnsi="Arial" w:cs="Arial"/>
          <w:sz w:val="22"/>
          <w:szCs w:val="22"/>
          <w:lang w:val="en-GB"/>
        </w:rPr>
        <w:t xml:space="preserve"> </w:t>
      </w:r>
      <w:r w:rsidR="007814F0" w:rsidRPr="004261CD">
        <w:rPr>
          <w:rFonts w:ascii="Arial" w:hAnsi="Arial" w:cs="Arial"/>
          <w:sz w:val="22"/>
          <w:szCs w:val="22"/>
          <w:lang w:val="en-GB"/>
        </w:rPr>
        <w:t>function</w:t>
      </w:r>
      <w:r w:rsidR="00136250" w:rsidRPr="004261CD">
        <w:rPr>
          <w:rFonts w:ascii="Arial" w:hAnsi="Arial" w:cs="Arial"/>
          <w:sz w:val="22"/>
          <w:szCs w:val="22"/>
          <w:lang w:val="en-GB"/>
        </w:rPr>
        <w:t xml:space="preserve"> </w:t>
      </w:r>
      <w:r w:rsidRPr="004261CD">
        <w:rPr>
          <w:rFonts w:ascii="Arial" w:hAnsi="Arial" w:cs="Arial"/>
          <w:sz w:val="22"/>
          <w:szCs w:val="22"/>
          <w:lang w:val="en-GB"/>
        </w:rPr>
        <w:t xml:space="preserve">to inform </w:t>
      </w:r>
      <w:r w:rsidR="00136250" w:rsidRPr="004261CD">
        <w:rPr>
          <w:rFonts w:ascii="Arial" w:hAnsi="Arial" w:cs="Arial"/>
          <w:sz w:val="22"/>
          <w:szCs w:val="22"/>
          <w:lang w:val="en-GB"/>
        </w:rPr>
        <w:t>its</w:t>
      </w:r>
      <w:r w:rsidRPr="004261CD">
        <w:rPr>
          <w:rFonts w:ascii="Arial" w:hAnsi="Arial" w:cs="Arial"/>
          <w:sz w:val="22"/>
          <w:szCs w:val="22"/>
          <w:lang w:val="en-GB"/>
        </w:rPr>
        <w:t xml:space="preserve"> investment decision</w:t>
      </w:r>
      <w:r w:rsidR="00136250" w:rsidRPr="004261CD">
        <w:rPr>
          <w:rFonts w:ascii="Arial" w:hAnsi="Arial" w:cs="Arial"/>
          <w:sz w:val="22"/>
          <w:szCs w:val="22"/>
          <w:lang w:val="en-GB"/>
        </w:rPr>
        <w:t>s.</w:t>
      </w:r>
    </w:p>
    <w:p w14:paraId="68C13BCC" w14:textId="77777777" w:rsidR="00360EA0" w:rsidRPr="004261CD" w:rsidRDefault="00360EA0" w:rsidP="00360EA0">
      <w:pPr>
        <w:rPr>
          <w:rFonts w:ascii="Arial" w:hAnsi="Arial" w:cs="Arial"/>
          <w:sz w:val="22"/>
          <w:szCs w:val="22"/>
          <w:lang w:val="en-GB"/>
        </w:rPr>
      </w:pPr>
    </w:p>
    <w:p w14:paraId="63129DD8" w14:textId="3F860693" w:rsidR="009E3285" w:rsidRPr="004261CD" w:rsidRDefault="00360EA0" w:rsidP="00B16A15">
      <w:pPr>
        <w:numPr>
          <w:ilvl w:val="0"/>
          <w:numId w:val="1"/>
        </w:numPr>
        <w:tabs>
          <w:tab w:val="left" w:pos="993"/>
        </w:tabs>
        <w:ind w:firstLine="0"/>
        <w:rPr>
          <w:rFonts w:ascii="Arial" w:hAnsi="Arial" w:cs="Arial"/>
          <w:b/>
          <w:sz w:val="22"/>
          <w:szCs w:val="22"/>
          <w:lang w:val="en-GB"/>
        </w:rPr>
      </w:pPr>
      <w:r w:rsidRPr="004261CD">
        <w:rPr>
          <w:rFonts w:ascii="Arial" w:hAnsi="Arial" w:cs="Arial"/>
          <w:b/>
          <w:sz w:val="22"/>
          <w:szCs w:val="22"/>
          <w:lang w:val="en-GB"/>
        </w:rPr>
        <w:t>M</w:t>
      </w:r>
      <w:r w:rsidR="009E3285" w:rsidRPr="004261CD">
        <w:rPr>
          <w:rFonts w:ascii="Arial" w:hAnsi="Arial" w:cs="Arial"/>
          <w:b/>
          <w:sz w:val="22"/>
          <w:szCs w:val="22"/>
          <w:lang w:val="en-GB"/>
        </w:rPr>
        <w:t xml:space="preserve">anagement Of Risk </w:t>
      </w:r>
    </w:p>
    <w:p w14:paraId="5BD42EC8" w14:textId="77777777" w:rsidR="007814F0" w:rsidRPr="004261CD" w:rsidRDefault="007814F0" w:rsidP="00B16A15">
      <w:pPr>
        <w:tabs>
          <w:tab w:val="left" w:pos="993"/>
        </w:tabs>
        <w:ind w:left="360"/>
        <w:rPr>
          <w:rFonts w:ascii="Arial" w:hAnsi="Arial" w:cs="Arial"/>
          <w:sz w:val="22"/>
          <w:szCs w:val="22"/>
          <w:lang w:val="en-GB"/>
        </w:rPr>
      </w:pPr>
    </w:p>
    <w:p w14:paraId="76138C50" w14:textId="1AE74355" w:rsidR="007814F0" w:rsidRPr="004261CD" w:rsidRDefault="0019615D" w:rsidP="00140C3B">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To</w:t>
      </w:r>
      <w:r w:rsidR="00360EA0" w:rsidRPr="004261CD">
        <w:rPr>
          <w:rFonts w:ascii="Arial" w:hAnsi="Arial" w:cs="Arial"/>
          <w:sz w:val="22"/>
          <w:szCs w:val="22"/>
          <w:lang w:val="en-GB"/>
        </w:rPr>
        <w:t xml:space="preserve"> minimise the risk of loss, the University must ensure </w:t>
      </w:r>
      <w:r w:rsidR="00900E7F" w:rsidRPr="004261CD">
        <w:rPr>
          <w:rFonts w:ascii="Arial" w:hAnsi="Arial" w:cs="Arial"/>
          <w:sz w:val="22"/>
          <w:szCs w:val="22"/>
          <w:lang w:val="en-GB"/>
        </w:rPr>
        <w:t>that: -</w:t>
      </w:r>
      <w:r w:rsidR="00670189" w:rsidRPr="004261CD">
        <w:rPr>
          <w:rFonts w:ascii="Arial" w:hAnsi="Arial" w:cs="Arial"/>
          <w:sz w:val="22"/>
          <w:szCs w:val="22"/>
          <w:lang w:val="en-GB"/>
        </w:rPr>
        <w:t xml:space="preserve"> </w:t>
      </w:r>
    </w:p>
    <w:p w14:paraId="66FADB36" w14:textId="134D01FB" w:rsidR="00670189" w:rsidRPr="004261CD" w:rsidRDefault="00670189">
      <w:pPr>
        <w:pStyle w:val="ListParagraph"/>
        <w:numPr>
          <w:ilvl w:val="0"/>
          <w:numId w:val="6"/>
        </w:numPr>
        <w:rPr>
          <w:rFonts w:ascii="Arial" w:hAnsi="Arial" w:cs="Arial"/>
          <w:sz w:val="22"/>
          <w:szCs w:val="22"/>
          <w:lang w:val="en-GB"/>
        </w:rPr>
      </w:pPr>
      <w:r w:rsidRPr="004261CD">
        <w:rPr>
          <w:rFonts w:ascii="Arial" w:hAnsi="Arial" w:cs="Arial"/>
          <w:sz w:val="22"/>
          <w:szCs w:val="22"/>
          <w:lang w:val="en-GB"/>
        </w:rPr>
        <w:t xml:space="preserve">funds are placed with </w:t>
      </w:r>
      <w:r w:rsidR="00422E4F" w:rsidRPr="004261CD">
        <w:rPr>
          <w:rFonts w:ascii="Arial" w:hAnsi="Arial" w:cs="Arial"/>
          <w:sz w:val="22"/>
          <w:szCs w:val="22"/>
          <w:lang w:val="en-GB"/>
        </w:rPr>
        <w:t>financially</w:t>
      </w:r>
      <w:r w:rsidRPr="004261CD">
        <w:rPr>
          <w:rFonts w:ascii="Arial" w:hAnsi="Arial" w:cs="Arial"/>
          <w:sz w:val="22"/>
          <w:szCs w:val="22"/>
          <w:lang w:val="en-GB"/>
        </w:rPr>
        <w:t xml:space="preserve"> strong institutions that meet min</w:t>
      </w:r>
      <w:r w:rsidR="00422E4F" w:rsidRPr="004261CD">
        <w:rPr>
          <w:rFonts w:ascii="Arial" w:hAnsi="Arial" w:cs="Arial"/>
          <w:sz w:val="22"/>
          <w:szCs w:val="22"/>
          <w:lang w:val="en-GB"/>
        </w:rPr>
        <w:t xml:space="preserve">imum credit rating </w:t>
      </w:r>
      <w:proofErr w:type="gramStart"/>
      <w:r w:rsidR="00422E4F" w:rsidRPr="004261CD">
        <w:rPr>
          <w:rFonts w:ascii="Arial" w:hAnsi="Arial" w:cs="Arial"/>
          <w:sz w:val="22"/>
          <w:szCs w:val="22"/>
          <w:lang w:val="en-GB"/>
        </w:rPr>
        <w:t>requirements;</w:t>
      </w:r>
      <w:proofErr w:type="gramEnd"/>
    </w:p>
    <w:p w14:paraId="40B89416" w14:textId="0DA5BEE4" w:rsidR="00670189" w:rsidRPr="004261CD" w:rsidRDefault="00670189">
      <w:pPr>
        <w:pStyle w:val="ListParagraph"/>
        <w:numPr>
          <w:ilvl w:val="0"/>
          <w:numId w:val="6"/>
        </w:numPr>
        <w:rPr>
          <w:rFonts w:ascii="Arial" w:hAnsi="Arial" w:cs="Arial"/>
          <w:sz w:val="22"/>
          <w:szCs w:val="22"/>
          <w:lang w:val="en-GB"/>
        </w:rPr>
      </w:pPr>
      <w:r w:rsidRPr="004261CD">
        <w:rPr>
          <w:rFonts w:ascii="Arial" w:hAnsi="Arial" w:cs="Arial"/>
          <w:sz w:val="22"/>
          <w:szCs w:val="22"/>
          <w:lang w:val="en-GB"/>
        </w:rPr>
        <w:t xml:space="preserve">these institutions are approved by the </w:t>
      </w:r>
      <w:r w:rsidR="004261CD" w:rsidRPr="004261CD">
        <w:rPr>
          <w:rFonts w:ascii="Arial" w:hAnsi="Arial" w:cs="Arial"/>
          <w:sz w:val="22"/>
          <w:szCs w:val="22"/>
          <w:lang w:val="en-GB"/>
        </w:rPr>
        <w:t>Finance and Resources Committee</w:t>
      </w:r>
      <w:r w:rsidRPr="004261CD">
        <w:rPr>
          <w:rFonts w:ascii="Arial" w:hAnsi="Arial" w:cs="Arial"/>
          <w:sz w:val="22"/>
          <w:szCs w:val="22"/>
          <w:lang w:val="en-GB"/>
        </w:rPr>
        <w:t xml:space="preserve"> </w:t>
      </w:r>
      <w:r w:rsidR="00422E4F" w:rsidRPr="004261CD">
        <w:rPr>
          <w:rFonts w:ascii="Arial" w:hAnsi="Arial" w:cs="Arial"/>
          <w:sz w:val="22"/>
          <w:szCs w:val="22"/>
          <w:lang w:val="en-GB"/>
        </w:rPr>
        <w:t xml:space="preserve">as part of </w:t>
      </w:r>
      <w:r w:rsidRPr="004261CD">
        <w:rPr>
          <w:rFonts w:ascii="Arial" w:hAnsi="Arial" w:cs="Arial"/>
          <w:sz w:val="22"/>
          <w:szCs w:val="22"/>
          <w:lang w:val="en-GB"/>
        </w:rPr>
        <w:t>approved counterpart</w:t>
      </w:r>
      <w:r w:rsidR="00F925FF" w:rsidRPr="004261CD">
        <w:rPr>
          <w:rFonts w:ascii="Arial" w:hAnsi="Arial" w:cs="Arial"/>
          <w:sz w:val="22"/>
          <w:szCs w:val="22"/>
          <w:lang w:val="en-GB"/>
        </w:rPr>
        <w:t>y</w:t>
      </w:r>
      <w:r w:rsidRPr="004261CD">
        <w:rPr>
          <w:rFonts w:ascii="Arial" w:hAnsi="Arial" w:cs="Arial"/>
          <w:sz w:val="22"/>
          <w:szCs w:val="22"/>
          <w:lang w:val="en-GB"/>
        </w:rPr>
        <w:t xml:space="preserve"> arrangement or otherwise approved</w:t>
      </w:r>
      <w:r w:rsidR="00137FB1" w:rsidRPr="004261CD">
        <w:rPr>
          <w:rFonts w:ascii="Arial" w:hAnsi="Arial" w:cs="Arial"/>
          <w:sz w:val="22"/>
          <w:szCs w:val="22"/>
          <w:lang w:val="en-GB"/>
        </w:rPr>
        <w:t xml:space="preserve"> directly</w:t>
      </w:r>
      <w:r w:rsidRPr="004261CD">
        <w:rPr>
          <w:rFonts w:ascii="Arial" w:hAnsi="Arial" w:cs="Arial"/>
          <w:sz w:val="22"/>
          <w:szCs w:val="22"/>
          <w:lang w:val="en-GB"/>
        </w:rPr>
        <w:t xml:space="preserve"> by the </w:t>
      </w:r>
      <w:r w:rsidR="004261CD" w:rsidRPr="004261CD">
        <w:rPr>
          <w:rFonts w:ascii="Arial" w:hAnsi="Arial" w:cs="Arial"/>
          <w:sz w:val="22"/>
          <w:szCs w:val="22"/>
          <w:lang w:val="en-GB"/>
        </w:rPr>
        <w:t xml:space="preserve">Finance and Resources </w:t>
      </w:r>
      <w:proofErr w:type="gramStart"/>
      <w:r w:rsidR="004261CD" w:rsidRPr="004261CD">
        <w:rPr>
          <w:rFonts w:ascii="Arial" w:hAnsi="Arial" w:cs="Arial"/>
          <w:sz w:val="22"/>
          <w:szCs w:val="22"/>
          <w:lang w:val="en-GB"/>
        </w:rPr>
        <w:t>Committee</w:t>
      </w:r>
      <w:r w:rsidRPr="004261CD">
        <w:rPr>
          <w:rFonts w:ascii="Arial" w:hAnsi="Arial" w:cs="Arial"/>
          <w:sz w:val="22"/>
          <w:szCs w:val="22"/>
          <w:lang w:val="en-GB"/>
        </w:rPr>
        <w:t>;</w:t>
      </w:r>
      <w:proofErr w:type="gramEnd"/>
    </w:p>
    <w:p w14:paraId="0415F84C" w14:textId="091B19A8" w:rsidR="00670189" w:rsidRPr="004261CD" w:rsidRDefault="00670189">
      <w:pPr>
        <w:pStyle w:val="ListParagraph"/>
        <w:numPr>
          <w:ilvl w:val="0"/>
          <w:numId w:val="6"/>
        </w:numPr>
        <w:rPr>
          <w:rFonts w:ascii="Arial" w:hAnsi="Arial" w:cs="Arial"/>
          <w:sz w:val="22"/>
          <w:szCs w:val="22"/>
          <w:lang w:val="en-GB"/>
        </w:rPr>
      </w:pPr>
      <w:r w:rsidRPr="004261CD">
        <w:rPr>
          <w:rFonts w:ascii="Arial" w:hAnsi="Arial" w:cs="Arial"/>
          <w:sz w:val="22"/>
          <w:szCs w:val="22"/>
          <w:lang w:val="en-GB"/>
        </w:rPr>
        <w:t>investment</w:t>
      </w:r>
      <w:r w:rsidR="00F925FF" w:rsidRPr="004261CD">
        <w:rPr>
          <w:rFonts w:ascii="Arial" w:hAnsi="Arial" w:cs="Arial"/>
          <w:sz w:val="22"/>
          <w:szCs w:val="22"/>
          <w:lang w:val="en-GB"/>
        </w:rPr>
        <w:t>s</w:t>
      </w:r>
      <w:r w:rsidRPr="004261CD">
        <w:rPr>
          <w:rFonts w:ascii="Arial" w:hAnsi="Arial" w:cs="Arial"/>
          <w:sz w:val="22"/>
          <w:szCs w:val="22"/>
          <w:lang w:val="en-GB"/>
        </w:rPr>
        <w:t xml:space="preserve"> are in accordance </w:t>
      </w:r>
      <w:r w:rsidR="00422E4F" w:rsidRPr="004261CD">
        <w:rPr>
          <w:rFonts w:ascii="Arial" w:hAnsi="Arial" w:cs="Arial"/>
          <w:sz w:val="22"/>
          <w:szCs w:val="22"/>
          <w:lang w:val="en-GB"/>
        </w:rPr>
        <w:t>with</w:t>
      </w:r>
      <w:r w:rsidRPr="004261CD">
        <w:rPr>
          <w:rFonts w:ascii="Arial" w:hAnsi="Arial" w:cs="Arial"/>
          <w:sz w:val="22"/>
          <w:szCs w:val="22"/>
          <w:lang w:val="en-GB"/>
        </w:rPr>
        <w:t xml:space="preserve"> </w:t>
      </w:r>
      <w:r w:rsidR="00422E4F" w:rsidRPr="004261CD">
        <w:rPr>
          <w:rFonts w:ascii="Arial" w:hAnsi="Arial" w:cs="Arial"/>
          <w:sz w:val="22"/>
          <w:szCs w:val="22"/>
          <w:lang w:val="en-GB"/>
        </w:rPr>
        <w:t>its</w:t>
      </w:r>
      <w:r w:rsidRPr="004261CD">
        <w:rPr>
          <w:rFonts w:ascii="Arial" w:hAnsi="Arial" w:cs="Arial"/>
          <w:sz w:val="22"/>
          <w:szCs w:val="22"/>
          <w:lang w:val="en-GB"/>
        </w:rPr>
        <w:t xml:space="preserve"> asset allocation strategy (see</w:t>
      </w:r>
      <w:r w:rsidR="00140C3B" w:rsidRPr="004261CD">
        <w:rPr>
          <w:rFonts w:ascii="Arial" w:hAnsi="Arial" w:cs="Arial"/>
          <w:sz w:val="22"/>
          <w:szCs w:val="22"/>
          <w:lang w:val="en-GB"/>
        </w:rPr>
        <w:t xml:space="preserve"> 5</w:t>
      </w:r>
      <w:r w:rsidRPr="004261CD">
        <w:rPr>
          <w:rFonts w:ascii="Arial" w:hAnsi="Arial" w:cs="Arial"/>
          <w:sz w:val="22"/>
          <w:szCs w:val="22"/>
          <w:lang w:val="en-GB"/>
        </w:rPr>
        <w:t xml:space="preserve"> below</w:t>
      </w:r>
      <w:proofErr w:type="gramStart"/>
      <w:r w:rsidRPr="004261CD">
        <w:rPr>
          <w:rFonts w:ascii="Arial" w:hAnsi="Arial" w:cs="Arial"/>
          <w:sz w:val="22"/>
          <w:szCs w:val="22"/>
          <w:lang w:val="en-GB"/>
        </w:rPr>
        <w:t>)</w:t>
      </w:r>
      <w:r w:rsidR="00140C3B" w:rsidRPr="004261CD">
        <w:rPr>
          <w:rFonts w:ascii="Arial" w:hAnsi="Arial" w:cs="Arial"/>
          <w:sz w:val="22"/>
          <w:szCs w:val="22"/>
          <w:lang w:val="en-GB"/>
        </w:rPr>
        <w:t>;</w:t>
      </w:r>
      <w:proofErr w:type="gramEnd"/>
    </w:p>
    <w:p w14:paraId="3183DE2E" w14:textId="4C6454D6" w:rsidR="00A86622" w:rsidRDefault="00422E4F">
      <w:pPr>
        <w:pStyle w:val="ListParagraph"/>
        <w:numPr>
          <w:ilvl w:val="0"/>
          <w:numId w:val="6"/>
        </w:numPr>
        <w:rPr>
          <w:rFonts w:ascii="Arial" w:hAnsi="Arial" w:cs="Arial"/>
          <w:sz w:val="22"/>
          <w:szCs w:val="22"/>
          <w:lang w:val="en-GB"/>
        </w:rPr>
      </w:pPr>
      <w:r w:rsidRPr="004261CD">
        <w:rPr>
          <w:rFonts w:ascii="Arial" w:hAnsi="Arial" w:cs="Arial"/>
          <w:sz w:val="22"/>
          <w:szCs w:val="22"/>
          <w:lang w:val="en-GB"/>
        </w:rPr>
        <w:t>the treasury management function is undertaken by authorised Finance staff, or otherwise by third party broker</w:t>
      </w:r>
      <w:r w:rsidR="00B26D00" w:rsidRPr="004261CD">
        <w:rPr>
          <w:rFonts w:ascii="Arial" w:hAnsi="Arial" w:cs="Arial"/>
          <w:sz w:val="22"/>
          <w:szCs w:val="22"/>
          <w:lang w:val="en-GB"/>
        </w:rPr>
        <w:t>/</w:t>
      </w:r>
      <w:r w:rsidRPr="004261CD">
        <w:rPr>
          <w:rFonts w:ascii="Arial" w:hAnsi="Arial" w:cs="Arial"/>
          <w:sz w:val="22"/>
          <w:szCs w:val="22"/>
          <w:lang w:val="en-GB"/>
        </w:rPr>
        <w:t xml:space="preserve">cash manager(s) approved by the </w:t>
      </w:r>
      <w:r w:rsidR="004261CD" w:rsidRPr="004261CD">
        <w:rPr>
          <w:rFonts w:ascii="Arial" w:hAnsi="Arial" w:cs="Arial"/>
          <w:sz w:val="22"/>
          <w:szCs w:val="22"/>
          <w:lang w:val="en-GB"/>
        </w:rPr>
        <w:t>Finance and Resources Committee</w:t>
      </w:r>
      <w:r w:rsidRPr="004261CD">
        <w:rPr>
          <w:rFonts w:ascii="Arial" w:hAnsi="Arial" w:cs="Arial"/>
          <w:sz w:val="22"/>
          <w:szCs w:val="22"/>
          <w:lang w:val="en-GB"/>
        </w:rPr>
        <w:t>.</w:t>
      </w:r>
    </w:p>
    <w:p w14:paraId="401775E0" w14:textId="77777777" w:rsidR="00A86622" w:rsidRDefault="00A86622" w:rsidP="00A86622">
      <w:pPr>
        <w:pStyle w:val="ListParagraph"/>
        <w:ind w:left="1395"/>
        <w:rPr>
          <w:rFonts w:ascii="Arial" w:hAnsi="Arial" w:cs="Arial"/>
          <w:sz w:val="22"/>
          <w:szCs w:val="22"/>
          <w:lang w:val="en-GB"/>
        </w:rPr>
      </w:pPr>
    </w:p>
    <w:p w14:paraId="6FCAFFE8" w14:textId="77777777" w:rsidR="006F7D64" w:rsidRPr="006F7D64" w:rsidRDefault="006F7D64" w:rsidP="006F7D64">
      <w:pPr>
        <w:tabs>
          <w:tab w:val="left" w:pos="993"/>
        </w:tabs>
        <w:ind w:left="993"/>
        <w:rPr>
          <w:rFonts w:ascii="Arial" w:hAnsi="Arial" w:cs="Arial"/>
          <w:b/>
          <w:sz w:val="22"/>
          <w:szCs w:val="22"/>
          <w:lang w:val="en-GB"/>
        </w:rPr>
      </w:pPr>
      <w:r w:rsidRPr="006F7D64">
        <w:rPr>
          <w:rFonts w:ascii="Arial" w:hAnsi="Arial" w:cs="Arial"/>
          <w:b/>
          <w:sz w:val="22"/>
          <w:szCs w:val="22"/>
          <w:lang w:val="en-GB"/>
        </w:rPr>
        <w:t>Instant access accounts</w:t>
      </w:r>
    </w:p>
    <w:p w14:paraId="59C84BD5" w14:textId="77777777" w:rsidR="006F7D64" w:rsidRPr="006F7D64" w:rsidRDefault="006F7D64" w:rsidP="006F7D64">
      <w:pPr>
        <w:tabs>
          <w:tab w:val="left" w:pos="993"/>
        </w:tabs>
        <w:ind w:left="993"/>
        <w:rPr>
          <w:rFonts w:ascii="Arial" w:hAnsi="Arial" w:cs="Arial"/>
          <w:bCs/>
          <w:sz w:val="22"/>
          <w:szCs w:val="22"/>
          <w:lang w:val="en-GB"/>
        </w:rPr>
      </w:pPr>
    </w:p>
    <w:p w14:paraId="74122196" w14:textId="77777777" w:rsidR="006F7D64" w:rsidRPr="006F7D64" w:rsidRDefault="006F7D64" w:rsidP="006F7D64">
      <w:pPr>
        <w:numPr>
          <w:ilvl w:val="1"/>
          <w:numId w:val="1"/>
        </w:numPr>
        <w:tabs>
          <w:tab w:val="left" w:pos="993"/>
        </w:tabs>
        <w:ind w:left="993" w:hanging="567"/>
        <w:rPr>
          <w:rFonts w:ascii="Arial" w:hAnsi="Arial" w:cs="Arial"/>
          <w:bCs/>
          <w:sz w:val="22"/>
          <w:szCs w:val="22"/>
          <w:lang w:val="en-GB"/>
        </w:rPr>
      </w:pPr>
      <w:r w:rsidRPr="006F7D64">
        <w:rPr>
          <w:rFonts w:ascii="Arial" w:hAnsi="Arial" w:cs="Arial"/>
          <w:bCs/>
          <w:sz w:val="22"/>
          <w:szCs w:val="22"/>
          <w:lang w:val="en-GB"/>
        </w:rPr>
        <w:t>A minimum balance of £1m should be held on instant access, in either:</w:t>
      </w:r>
    </w:p>
    <w:p w14:paraId="769F7751" w14:textId="49E1C550" w:rsidR="006F7D64" w:rsidRPr="006F7D64" w:rsidRDefault="006F7D64">
      <w:pPr>
        <w:numPr>
          <w:ilvl w:val="1"/>
          <w:numId w:val="12"/>
        </w:numPr>
        <w:tabs>
          <w:tab w:val="left" w:pos="993"/>
        </w:tabs>
        <w:rPr>
          <w:rFonts w:ascii="Arial" w:hAnsi="Arial" w:cs="Arial"/>
          <w:sz w:val="22"/>
          <w:szCs w:val="22"/>
          <w:lang w:val="en-GB"/>
        </w:rPr>
      </w:pPr>
      <w:r w:rsidRPr="76DA7CAF">
        <w:rPr>
          <w:rFonts w:ascii="Arial" w:hAnsi="Arial" w:cs="Arial"/>
          <w:sz w:val="22"/>
          <w:szCs w:val="22"/>
          <w:lang w:val="en-GB"/>
        </w:rPr>
        <w:t>A fixed interest</w:t>
      </w:r>
      <w:r w:rsidR="1A1AD016" w:rsidRPr="76DA7CAF">
        <w:rPr>
          <w:rFonts w:ascii="Arial" w:hAnsi="Arial" w:cs="Arial"/>
          <w:sz w:val="22"/>
          <w:szCs w:val="22"/>
          <w:lang w:val="en-GB"/>
        </w:rPr>
        <w:t>-</w:t>
      </w:r>
      <w:r w:rsidRPr="76DA7CAF">
        <w:rPr>
          <w:rFonts w:ascii="Arial" w:hAnsi="Arial" w:cs="Arial"/>
          <w:sz w:val="22"/>
          <w:szCs w:val="22"/>
          <w:lang w:val="en-GB"/>
        </w:rPr>
        <w:t>bearing current account with Barclays Bank Plc; and/or</w:t>
      </w:r>
    </w:p>
    <w:p w14:paraId="5EB15A21" w14:textId="77777777" w:rsidR="006F7D64" w:rsidRDefault="006F7D64">
      <w:pPr>
        <w:numPr>
          <w:ilvl w:val="1"/>
          <w:numId w:val="12"/>
        </w:numPr>
        <w:tabs>
          <w:tab w:val="left" w:pos="993"/>
        </w:tabs>
        <w:rPr>
          <w:rFonts w:ascii="Arial" w:hAnsi="Arial" w:cs="Arial"/>
          <w:bCs/>
          <w:sz w:val="22"/>
          <w:szCs w:val="22"/>
          <w:lang w:val="en-GB"/>
        </w:rPr>
      </w:pPr>
      <w:r w:rsidRPr="006F7D64">
        <w:rPr>
          <w:rFonts w:ascii="Arial" w:hAnsi="Arial" w:cs="Arial"/>
          <w:bCs/>
          <w:sz w:val="22"/>
          <w:szCs w:val="22"/>
          <w:lang w:val="en-GB"/>
        </w:rPr>
        <w:t>A Federated Investors sterling liquidity fund.</w:t>
      </w:r>
    </w:p>
    <w:p w14:paraId="63A7BBE9" w14:textId="52204313" w:rsidR="009202C1" w:rsidRPr="006F7D64" w:rsidRDefault="00DA7590" w:rsidP="004E2495">
      <w:pPr>
        <w:numPr>
          <w:ilvl w:val="1"/>
          <w:numId w:val="12"/>
        </w:numPr>
        <w:tabs>
          <w:tab w:val="left" w:pos="993"/>
        </w:tabs>
        <w:rPr>
          <w:rFonts w:ascii="Arial" w:hAnsi="Arial" w:cs="Arial"/>
          <w:bCs/>
          <w:sz w:val="22"/>
          <w:szCs w:val="22"/>
          <w:lang w:val="en-GB"/>
        </w:rPr>
      </w:pPr>
      <w:r>
        <w:rPr>
          <w:rFonts w:ascii="Arial" w:hAnsi="Arial" w:cs="Arial"/>
          <w:bCs/>
          <w:sz w:val="22"/>
          <w:szCs w:val="22"/>
          <w:lang w:val="en-GB"/>
        </w:rPr>
        <w:t xml:space="preserve">A </w:t>
      </w:r>
      <w:r w:rsidR="004E2495" w:rsidRPr="004E2495">
        <w:rPr>
          <w:rFonts w:ascii="Arial" w:hAnsi="Arial" w:cs="Arial"/>
          <w:bCs/>
          <w:sz w:val="22"/>
          <w:szCs w:val="22"/>
        </w:rPr>
        <w:t>HSBC Sterling ESG Liquidity Fund</w:t>
      </w:r>
    </w:p>
    <w:p w14:paraId="54DB9FFE" w14:textId="77777777" w:rsidR="006F7D64" w:rsidRPr="006F7D64" w:rsidRDefault="006F7D64" w:rsidP="006F7D64">
      <w:pPr>
        <w:tabs>
          <w:tab w:val="left" w:pos="993"/>
        </w:tabs>
        <w:ind w:left="993"/>
        <w:rPr>
          <w:rFonts w:ascii="Arial" w:hAnsi="Arial" w:cs="Arial"/>
          <w:bCs/>
          <w:sz w:val="22"/>
          <w:szCs w:val="22"/>
          <w:lang w:val="en-GB"/>
        </w:rPr>
      </w:pPr>
    </w:p>
    <w:p w14:paraId="0895C4B8" w14:textId="77777777" w:rsidR="006F7D64" w:rsidRPr="006F7D64" w:rsidRDefault="006F7D64" w:rsidP="006F7D64">
      <w:pPr>
        <w:numPr>
          <w:ilvl w:val="1"/>
          <w:numId w:val="1"/>
        </w:numPr>
        <w:tabs>
          <w:tab w:val="left" w:pos="993"/>
        </w:tabs>
        <w:ind w:left="993" w:hanging="567"/>
        <w:rPr>
          <w:rFonts w:ascii="Arial" w:hAnsi="Arial" w:cs="Arial"/>
          <w:bCs/>
          <w:sz w:val="22"/>
          <w:szCs w:val="22"/>
          <w:lang w:val="en-GB"/>
        </w:rPr>
      </w:pPr>
      <w:r w:rsidRPr="006F7D64">
        <w:rPr>
          <w:rFonts w:ascii="Arial" w:hAnsi="Arial" w:cs="Arial"/>
          <w:bCs/>
          <w:sz w:val="22"/>
          <w:szCs w:val="22"/>
          <w:lang w:val="en-GB"/>
        </w:rPr>
        <w:t>Sterling funds held with Barclays clearing account will be swept to interest-bearing accounts overnight earn interest at Bank of England base rate plus 0.5%.</w:t>
      </w:r>
    </w:p>
    <w:p w14:paraId="74A87A77" w14:textId="77777777" w:rsidR="006F7D64" w:rsidRPr="006F7D64" w:rsidRDefault="006F7D64" w:rsidP="006F7D64">
      <w:pPr>
        <w:tabs>
          <w:tab w:val="left" w:pos="993"/>
        </w:tabs>
        <w:ind w:left="993"/>
        <w:rPr>
          <w:rFonts w:ascii="Arial" w:hAnsi="Arial" w:cs="Arial"/>
          <w:bCs/>
          <w:sz w:val="22"/>
          <w:szCs w:val="22"/>
          <w:lang w:val="en-GB"/>
        </w:rPr>
      </w:pPr>
    </w:p>
    <w:p w14:paraId="7E6F2D33" w14:textId="77777777" w:rsidR="006F7D64" w:rsidRPr="006F7D64" w:rsidRDefault="006F7D64" w:rsidP="006F7D64">
      <w:pPr>
        <w:tabs>
          <w:tab w:val="left" w:pos="993"/>
        </w:tabs>
        <w:ind w:left="993"/>
        <w:rPr>
          <w:rFonts w:ascii="Arial" w:hAnsi="Arial" w:cs="Arial"/>
          <w:b/>
          <w:sz w:val="22"/>
          <w:szCs w:val="22"/>
          <w:lang w:val="en-GB"/>
        </w:rPr>
      </w:pPr>
      <w:r w:rsidRPr="006F7D64">
        <w:rPr>
          <w:rFonts w:ascii="Arial" w:hAnsi="Arial" w:cs="Arial"/>
          <w:b/>
          <w:sz w:val="22"/>
          <w:szCs w:val="22"/>
          <w:lang w:val="en-GB"/>
        </w:rPr>
        <w:t>Term deposits</w:t>
      </w:r>
    </w:p>
    <w:p w14:paraId="0A25F50B" w14:textId="77777777" w:rsidR="006F7D64" w:rsidRPr="006F7D64" w:rsidRDefault="006F7D64" w:rsidP="006F7D64">
      <w:pPr>
        <w:tabs>
          <w:tab w:val="left" w:pos="993"/>
        </w:tabs>
        <w:ind w:left="993"/>
        <w:rPr>
          <w:rFonts w:ascii="Arial" w:hAnsi="Arial" w:cs="Arial"/>
          <w:bCs/>
          <w:sz w:val="22"/>
          <w:szCs w:val="22"/>
          <w:lang w:val="en-GB"/>
        </w:rPr>
      </w:pPr>
    </w:p>
    <w:p w14:paraId="6D364FAE" w14:textId="76BFD885" w:rsidR="006F7D64" w:rsidRPr="006F7D64" w:rsidRDefault="006F7D64" w:rsidP="006F7D64">
      <w:pPr>
        <w:numPr>
          <w:ilvl w:val="1"/>
          <w:numId w:val="1"/>
        </w:numPr>
        <w:tabs>
          <w:tab w:val="left" w:pos="993"/>
        </w:tabs>
        <w:ind w:left="993" w:hanging="567"/>
        <w:rPr>
          <w:rFonts w:ascii="Arial" w:hAnsi="Arial" w:cs="Arial"/>
          <w:sz w:val="22"/>
          <w:szCs w:val="22"/>
          <w:lang w:val="en-GB"/>
        </w:rPr>
      </w:pPr>
      <w:r w:rsidRPr="0328543F">
        <w:rPr>
          <w:rFonts w:ascii="Arial" w:hAnsi="Arial" w:cs="Arial"/>
          <w:sz w:val="22"/>
          <w:szCs w:val="22"/>
          <w:lang w:val="en-GB"/>
        </w:rPr>
        <w:t>Funds not held in instant access or clearing accounts are placed on either fixed term deposit accounts for period not exceeding 12 months or on notice accounts whereby the period of notice does not exceed 12 months. The University ensures competitive rates for deposits obtained by comparing rates quoted by its broker (currently R.P Martin) with published daily rates from other market sources e.g</w:t>
      </w:r>
      <w:r w:rsidR="595DFF26" w:rsidRPr="0328543F">
        <w:rPr>
          <w:rFonts w:ascii="Arial" w:hAnsi="Arial" w:cs="Arial"/>
          <w:sz w:val="22"/>
          <w:szCs w:val="22"/>
          <w:lang w:val="en-GB"/>
        </w:rPr>
        <w:t>.,</w:t>
      </w:r>
      <w:r w:rsidRPr="0328543F">
        <w:rPr>
          <w:rFonts w:ascii="Arial" w:hAnsi="Arial" w:cs="Arial"/>
          <w:sz w:val="22"/>
          <w:szCs w:val="22"/>
          <w:lang w:val="en-GB"/>
        </w:rPr>
        <w:t xml:space="preserve"> ICAP Plc.</w:t>
      </w:r>
    </w:p>
    <w:p w14:paraId="579BB840" w14:textId="77777777" w:rsidR="006F7D64" w:rsidRPr="006F7D64" w:rsidRDefault="006F7D64" w:rsidP="006F7D64">
      <w:pPr>
        <w:tabs>
          <w:tab w:val="left" w:pos="993"/>
        </w:tabs>
        <w:ind w:left="993"/>
        <w:rPr>
          <w:rFonts w:ascii="Arial" w:hAnsi="Arial" w:cs="Arial"/>
          <w:bCs/>
          <w:sz w:val="22"/>
          <w:szCs w:val="22"/>
          <w:lang w:val="en-GB"/>
        </w:rPr>
      </w:pPr>
    </w:p>
    <w:p w14:paraId="0BF85AC7" w14:textId="77777777" w:rsidR="006F7D64" w:rsidRPr="006F7D64" w:rsidRDefault="006F7D64" w:rsidP="006F7D64">
      <w:pPr>
        <w:numPr>
          <w:ilvl w:val="1"/>
          <w:numId w:val="1"/>
        </w:numPr>
        <w:tabs>
          <w:tab w:val="left" w:pos="993"/>
        </w:tabs>
        <w:ind w:left="993" w:hanging="567"/>
        <w:rPr>
          <w:rFonts w:ascii="Arial" w:hAnsi="Arial" w:cs="Arial"/>
          <w:bCs/>
          <w:sz w:val="22"/>
          <w:szCs w:val="22"/>
          <w:lang w:val="en-GB"/>
        </w:rPr>
      </w:pPr>
      <w:r w:rsidRPr="006F7D64">
        <w:rPr>
          <w:rFonts w:ascii="Arial" w:hAnsi="Arial" w:cs="Arial"/>
          <w:bCs/>
          <w:sz w:val="22"/>
          <w:szCs w:val="22"/>
          <w:lang w:val="en-GB"/>
        </w:rPr>
        <w:t>Direct dealing arrangements for term deposits have also been set up with Santander Corporate Banking, Lloyds Bank Plc and Bank of Scotland.</w:t>
      </w:r>
    </w:p>
    <w:p w14:paraId="51BF2A81" w14:textId="77777777" w:rsidR="006F7D64" w:rsidRPr="006F7D64" w:rsidRDefault="006F7D64" w:rsidP="006F7D64">
      <w:pPr>
        <w:tabs>
          <w:tab w:val="left" w:pos="993"/>
        </w:tabs>
        <w:ind w:left="993"/>
        <w:rPr>
          <w:rFonts w:ascii="Arial" w:hAnsi="Arial" w:cs="Arial"/>
          <w:bCs/>
          <w:sz w:val="22"/>
          <w:szCs w:val="22"/>
          <w:lang w:val="en-GB"/>
        </w:rPr>
      </w:pPr>
    </w:p>
    <w:p w14:paraId="2DCE8921" w14:textId="5469AB81" w:rsidR="006F7D64" w:rsidRPr="006F7D64" w:rsidRDefault="006F7D64" w:rsidP="006F7D64">
      <w:pPr>
        <w:numPr>
          <w:ilvl w:val="1"/>
          <w:numId w:val="1"/>
        </w:numPr>
        <w:tabs>
          <w:tab w:val="left" w:pos="993"/>
        </w:tabs>
        <w:ind w:left="993" w:hanging="567"/>
        <w:rPr>
          <w:rFonts w:ascii="Arial" w:hAnsi="Arial" w:cs="Arial"/>
          <w:bCs/>
          <w:sz w:val="22"/>
          <w:szCs w:val="22"/>
          <w:lang w:val="en-GB"/>
        </w:rPr>
      </w:pPr>
      <w:r w:rsidRPr="006F7D64">
        <w:rPr>
          <w:rFonts w:ascii="Arial" w:hAnsi="Arial" w:cs="Arial"/>
          <w:bCs/>
          <w:sz w:val="22"/>
          <w:szCs w:val="22"/>
          <w:lang w:val="en-GB"/>
        </w:rPr>
        <w:t xml:space="preserve">All deposits are placed by staff approved by the </w:t>
      </w:r>
      <w:r w:rsidR="001D2776">
        <w:rPr>
          <w:rFonts w:ascii="Arial" w:hAnsi="Arial" w:cs="Arial"/>
          <w:bCs/>
          <w:sz w:val="22"/>
          <w:szCs w:val="22"/>
          <w:lang w:val="en-GB"/>
        </w:rPr>
        <w:t xml:space="preserve">Chief Operating </w:t>
      </w:r>
      <w:r w:rsidR="00F56FDA">
        <w:rPr>
          <w:rFonts w:ascii="Arial" w:hAnsi="Arial" w:cs="Arial"/>
          <w:bCs/>
          <w:sz w:val="22"/>
          <w:szCs w:val="22"/>
          <w:lang w:val="en-GB"/>
        </w:rPr>
        <w:t>Officer</w:t>
      </w:r>
      <w:r w:rsidR="00F56FDA" w:rsidRPr="006F7D64">
        <w:rPr>
          <w:rFonts w:ascii="Arial" w:hAnsi="Arial" w:cs="Arial"/>
          <w:bCs/>
          <w:sz w:val="22"/>
          <w:szCs w:val="22"/>
          <w:lang w:val="en-GB"/>
        </w:rPr>
        <w:t xml:space="preserve"> and</w:t>
      </w:r>
      <w:r w:rsidRPr="006F7D64">
        <w:rPr>
          <w:rFonts w:ascii="Arial" w:hAnsi="Arial" w:cs="Arial"/>
          <w:bCs/>
          <w:sz w:val="22"/>
          <w:szCs w:val="22"/>
          <w:lang w:val="en-GB"/>
        </w:rPr>
        <w:t xml:space="preserve"> counterparties are notified of those authorised to act on the University’s behalf.</w:t>
      </w:r>
    </w:p>
    <w:p w14:paraId="676F90E6" w14:textId="77777777" w:rsidR="006F7D64" w:rsidRPr="006F7D64" w:rsidRDefault="006F7D64" w:rsidP="006F7D64">
      <w:pPr>
        <w:tabs>
          <w:tab w:val="left" w:pos="993"/>
        </w:tabs>
        <w:ind w:left="993"/>
        <w:rPr>
          <w:rFonts w:ascii="Arial" w:hAnsi="Arial" w:cs="Arial"/>
          <w:bCs/>
          <w:sz w:val="22"/>
          <w:szCs w:val="22"/>
          <w:lang w:val="en-GB"/>
        </w:rPr>
      </w:pPr>
    </w:p>
    <w:p w14:paraId="3E16C68F" w14:textId="1D9A9047" w:rsidR="006F7D64" w:rsidRDefault="006F7D64" w:rsidP="006F7D64">
      <w:pPr>
        <w:numPr>
          <w:ilvl w:val="1"/>
          <w:numId w:val="1"/>
        </w:numPr>
        <w:tabs>
          <w:tab w:val="left" w:pos="993"/>
        </w:tabs>
        <w:ind w:left="993" w:hanging="567"/>
        <w:rPr>
          <w:rFonts w:ascii="Arial" w:hAnsi="Arial" w:cs="Arial"/>
          <w:sz w:val="22"/>
          <w:szCs w:val="22"/>
          <w:lang w:val="en-GB"/>
        </w:rPr>
      </w:pPr>
      <w:r w:rsidRPr="6498A659">
        <w:rPr>
          <w:rFonts w:ascii="Arial" w:hAnsi="Arial" w:cs="Arial"/>
          <w:sz w:val="22"/>
          <w:szCs w:val="22"/>
          <w:lang w:val="en-GB"/>
        </w:rPr>
        <w:t>Counterparty ratings are monitored closely</w:t>
      </w:r>
      <w:r w:rsidR="3B9F77C9" w:rsidRPr="6498A659">
        <w:rPr>
          <w:rFonts w:ascii="Arial" w:hAnsi="Arial" w:cs="Arial"/>
          <w:sz w:val="22"/>
          <w:szCs w:val="22"/>
          <w:lang w:val="en-GB"/>
        </w:rPr>
        <w:t>,</w:t>
      </w:r>
      <w:r w:rsidRPr="6498A659">
        <w:rPr>
          <w:rFonts w:ascii="Arial" w:hAnsi="Arial" w:cs="Arial"/>
          <w:sz w:val="22"/>
          <w:szCs w:val="22"/>
          <w:lang w:val="en-GB"/>
        </w:rPr>
        <w:t xml:space="preserve"> and brokers provide market information daily. All deposits are recorded</w:t>
      </w:r>
      <w:r w:rsidR="260B9571" w:rsidRPr="5BB29537">
        <w:rPr>
          <w:rFonts w:ascii="Arial" w:hAnsi="Arial" w:cs="Arial"/>
          <w:sz w:val="22"/>
          <w:szCs w:val="22"/>
          <w:lang w:val="en-GB"/>
        </w:rPr>
        <w:t>,</w:t>
      </w:r>
      <w:r w:rsidRPr="6498A659">
        <w:rPr>
          <w:rFonts w:ascii="Arial" w:hAnsi="Arial" w:cs="Arial"/>
          <w:sz w:val="22"/>
          <w:szCs w:val="22"/>
          <w:lang w:val="en-GB"/>
        </w:rPr>
        <w:t xml:space="preserve"> and a statement of each deposit is provided to the </w:t>
      </w:r>
      <w:r w:rsidR="001D2776" w:rsidRPr="6498A659">
        <w:rPr>
          <w:rFonts w:ascii="Arial" w:hAnsi="Arial" w:cs="Arial"/>
          <w:sz w:val="22"/>
          <w:szCs w:val="22"/>
          <w:lang w:val="en-GB"/>
        </w:rPr>
        <w:t xml:space="preserve">Chief Operating </w:t>
      </w:r>
      <w:r w:rsidR="00492FC0" w:rsidRPr="6498A659">
        <w:rPr>
          <w:rFonts w:ascii="Arial" w:hAnsi="Arial" w:cs="Arial"/>
          <w:sz w:val="22"/>
          <w:szCs w:val="22"/>
          <w:lang w:val="en-GB"/>
        </w:rPr>
        <w:t>Officer on</w:t>
      </w:r>
      <w:r w:rsidRPr="6498A659">
        <w:rPr>
          <w:rFonts w:ascii="Arial" w:hAnsi="Arial" w:cs="Arial"/>
          <w:sz w:val="22"/>
          <w:szCs w:val="22"/>
          <w:lang w:val="en-GB"/>
        </w:rPr>
        <w:t xml:space="preserve"> the day of the deposit.</w:t>
      </w:r>
    </w:p>
    <w:p w14:paraId="4A29A60C" w14:textId="77777777" w:rsidR="006F7D64" w:rsidRPr="006F7D64" w:rsidRDefault="006F7D64" w:rsidP="006F7D64">
      <w:pPr>
        <w:tabs>
          <w:tab w:val="left" w:pos="993"/>
        </w:tabs>
        <w:rPr>
          <w:rFonts w:ascii="Arial" w:hAnsi="Arial" w:cs="Arial"/>
          <w:bCs/>
          <w:sz w:val="22"/>
          <w:szCs w:val="22"/>
          <w:lang w:val="en-GB"/>
        </w:rPr>
      </w:pPr>
    </w:p>
    <w:p w14:paraId="3A6A6356" w14:textId="2AEF5D0F" w:rsidR="00A86622" w:rsidRPr="006F7D64" w:rsidRDefault="00A86622" w:rsidP="006F7D64">
      <w:pPr>
        <w:tabs>
          <w:tab w:val="left" w:pos="993"/>
        </w:tabs>
        <w:ind w:left="993"/>
        <w:rPr>
          <w:rFonts w:ascii="Arial" w:hAnsi="Arial" w:cs="Arial"/>
          <w:b/>
          <w:sz w:val="22"/>
          <w:szCs w:val="22"/>
          <w:lang w:val="en-GB"/>
        </w:rPr>
      </w:pPr>
      <w:r w:rsidRPr="006F7D64">
        <w:rPr>
          <w:rFonts w:ascii="Arial" w:hAnsi="Arial" w:cs="Arial"/>
          <w:b/>
          <w:sz w:val="22"/>
          <w:szCs w:val="22"/>
          <w:lang w:val="en-GB"/>
        </w:rPr>
        <w:t>Placement criteria</w:t>
      </w:r>
    </w:p>
    <w:p w14:paraId="1E71A28D" w14:textId="77777777" w:rsidR="00A86622" w:rsidRPr="006F7D64" w:rsidRDefault="00A86622" w:rsidP="006F7D64">
      <w:pPr>
        <w:tabs>
          <w:tab w:val="left" w:pos="993"/>
        </w:tabs>
        <w:ind w:left="993"/>
        <w:rPr>
          <w:rFonts w:ascii="Arial" w:hAnsi="Arial" w:cs="Arial"/>
          <w:bCs/>
          <w:sz w:val="22"/>
          <w:szCs w:val="22"/>
          <w:lang w:val="en-GB"/>
        </w:rPr>
      </w:pPr>
    </w:p>
    <w:p w14:paraId="0875B991" w14:textId="77777777" w:rsidR="00A86622" w:rsidRPr="00A86622" w:rsidRDefault="00A86622" w:rsidP="006F7D64">
      <w:pPr>
        <w:numPr>
          <w:ilvl w:val="1"/>
          <w:numId w:val="1"/>
        </w:numPr>
        <w:tabs>
          <w:tab w:val="clear" w:pos="1283"/>
          <w:tab w:val="left" w:pos="993"/>
        </w:tabs>
        <w:ind w:left="993" w:hanging="567"/>
        <w:rPr>
          <w:rFonts w:ascii="Arial" w:hAnsi="Arial" w:cs="Arial"/>
          <w:sz w:val="22"/>
          <w:szCs w:val="22"/>
          <w:lang w:val="en-GB"/>
        </w:rPr>
      </w:pPr>
      <w:r w:rsidRPr="006F7D64">
        <w:rPr>
          <w:rFonts w:ascii="Arial" w:hAnsi="Arial" w:cs="Arial"/>
          <w:bCs/>
          <w:sz w:val="22"/>
          <w:szCs w:val="22"/>
          <w:lang w:val="en-GB"/>
        </w:rPr>
        <w:t xml:space="preserve">Deposits may only be </w:t>
      </w:r>
      <w:r w:rsidRPr="00A86622">
        <w:rPr>
          <w:rFonts w:ascii="Arial" w:hAnsi="Arial" w:cs="Arial"/>
          <w:sz w:val="22"/>
          <w:szCs w:val="22"/>
          <w:lang w:val="en-GB"/>
        </w:rPr>
        <w:t>placed with organisations that meet the following minimum credit ratings, or an approved Building Society. These are for all deposits regardless of term.</w:t>
      </w:r>
    </w:p>
    <w:p w14:paraId="275CA7F3" w14:textId="77777777" w:rsidR="00A86622" w:rsidRPr="00A86622" w:rsidRDefault="00A86622" w:rsidP="006F7D64">
      <w:pPr>
        <w:ind w:left="993" w:hanging="567"/>
        <w:rPr>
          <w:rFonts w:ascii="Arial" w:hAnsi="Arial" w:cs="Arial"/>
          <w:sz w:val="22"/>
          <w:szCs w:val="22"/>
          <w:lang w:val="en-GB"/>
        </w:rPr>
      </w:pPr>
    </w:p>
    <w:p w14:paraId="30B7EA80" w14:textId="62921A19" w:rsidR="00A86622" w:rsidRPr="006F7D64" w:rsidRDefault="00A86622" w:rsidP="006F7D64">
      <w:pPr>
        <w:numPr>
          <w:ilvl w:val="1"/>
          <w:numId w:val="1"/>
        </w:numPr>
        <w:tabs>
          <w:tab w:val="num" w:pos="993"/>
        </w:tabs>
        <w:ind w:left="993" w:hanging="567"/>
        <w:rPr>
          <w:rFonts w:ascii="Arial" w:hAnsi="Arial" w:cs="Arial"/>
          <w:sz w:val="22"/>
          <w:szCs w:val="22"/>
          <w:lang w:val="en-GB"/>
        </w:rPr>
      </w:pPr>
      <w:r w:rsidRPr="00A86622">
        <w:rPr>
          <w:rFonts w:ascii="Arial" w:hAnsi="Arial" w:cs="Arial"/>
          <w:sz w:val="22"/>
          <w:szCs w:val="22"/>
          <w:lang w:val="en-GB"/>
        </w:rPr>
        <w:t>Organisations other than approved Building Societies must meet at least 2 out of the following long term credit ratings</w:t>
      </w:r>
      <w:r w:rsidR="006F7D64">
        <w:rPr>
          <w:rFonts w:ascii="Arial" w:hAnsi="Arial" w:cs="Arial"/>
          <w:sz w:val="22"/>
          <w:szCs w:val="22"/>
          <w:lang w:val="en-GB"/>
        </w:rPr>
        <w:t xml:space="preserve"> (</w:t>
      </w:r>
      <w:r w:rsidR="006F7D64" w:rsidRPr="006F7D64">
        <w:rPr>
          <w:rFonts w:ascii="Arial" w:hAnsi="Arial" w:cs="Arial"/>
          <w:sz w:val="22"/>
          <w:szCs w:val="22"/>
          <w:lang w:val="en-GB"/>
        </w:rPr>
        <w:t>Including counterparties who do not have their own rating but who are wholly owned and 100% guaranteed by their parent, providing the parent meets the rating listed above)</w:t>
      </w:r>
      <w:r w:rsidR="006F7D64">
        <w:rPr>
          <w:rFonts w:ascii="Arial" w:hAnsi="Arial" w:cs="Arial"/>
          <w:sz w:val="22"/>
          <w:szCs w:val="22"/>
          <w:lang w:val="en-GB"/>
        </w:rPr>
        <w:t>:</w:t>
      </w:r>
    </w:p>
    <w:p w14:paraId="1AABF057" w14:textId="77777777" w:rsidR="00A86622" w:rsidRPr="00A86622" w:rsidRDefault="00A86622" w:rsidP="00A86622">
      <w:pPr>
        <w:ind w:left="993"/>
        <w:rPr>
          <w:rFonts w:ascii="Arial" w:hAnsi="Arial" w:cs="Arial"/>
          <w:sz w:val="22"/>
          <w:szCs w:val="22"/>
          <w:lang w:val="en-GB"/>
        </w:rPr>
      </w:pPr>
    </w:p>
    <w:p w14:paraId="51300A27" w14:textId="4D9DBC8C" w:rsidR="00A86622" w:rsidRPr="006F7D64" w:rsidRDefault="00A86622">
      <w:pPr>
        <w:pStyle w:val="ListParagraph"/>
        <w:numPr>
          <w:ilvl w:val="1"/>
          <w:numId w:val="13"/>
        </w:numPr>
        <w:rPr>
          <w:rFonts w:ascii="Arial" w:hAnsi="Arial" w:cs="Arial"/>
          <w:sz w:val="22"/>
          <w:szCs w:val="22"/>
          <w:lang w:val="en-GB"/>
        </w:rPr>
      </w:pPr>
      <w:r w:rsidRPr="006F7D64">
        <w:rPr>
          <w:rFonts w:ascii="Arial" w:hAnsi="Arial" w:cs="Arial"/>
          <w:sz w:val="22"/>
          <w:szCs w:val="22"/>
          <w:lang w:val="en-GB"/>
        </w:rPr>
        <w:t xml:space="preserve">FITCH IBCA                   </w:t>
      </w:r>
      <w:r w:rsidR="502880EC" w:rsidRPr="13DCD284">
        <w:rPr>
          <w:rFonts w:ascii="Arial" w:hAnsi="Arial" w:cs="Arial"/>
          <w:sz w:val="22"/>
          <w:szCs w:val="22"/>
          <w:lang w:val="en-GB"/>
        </w:rPr>
        <w:t>A</w:t>
      </w:r>
      <w:r w:rsidRPr="006F7D64">
        <w:rPr>
          <w:rFonts w:ascii="Arial" w:hAnsi="Arial" w:cs="Arial"/>
          <w:sz w:val="22"/>
          <w:szCs w:val="22"/>
          <w:lang w:val="en-GB"/>
        </w:rPr>
        <w:t xml:space="preserve"> (High credit quality)</w:t>
      </w:r>
    </w:p>
    <w:p w14:paraId="3B025E1F" w14:textId="77777777" w:rsidR="00A86622" w:rsidRPr="006F7D64" w:rsidRDefault="00A86622">
      <w:pPr>
        <w:pStyle w:val="ListParagraph"/>
        <w:numPr>
          <w:ilvl w:val="1"/>
          <w:numId w:val="13"/>
        </w:numPr>
        <w:rPr>
          <w:rFonts w:ascii="Arial" w:hAnsi="Arial" w:cs="Arial"/>
          <w:sz w:val="22"/>
          <w:szCs w:val="22"/>
          <w:lang w:val="en-GB"/>
        </w:rPr>
      </w:pPr>
      <w:r w:rsidRPr="006F7D64">
        <w:rPr>
          <w:rFonts w:ascii="Arial" w:hAnsi="Arial" w:cs="Arial"/>
          <w:sz w:val="22"/>
          <w:szCs w:val="22"/>
          <w:lang w:val="en-GB"/>
        </w:rPr>
        <w:t>Moody’s                          A2 (Low credit risk)</w:t>
      </w:r>
    </w:p>
    <w:p w14:paraId="64E1B0F0" w14:textId="37572F03" w:rsidR="00A86622" w:rsidRPr="006F7D64" w:rsidRDefault="00A86622">
      <w:pPr>
        <w:pStyle w:val="ListParagraph"/>
        <w:numPr>
          <w:ilvl w:val="1"/>
          <w:numId w:val="13"/>
        </w:numPr>
        <w:rPr>
          <w:rFonts w:ascii="Arial" w:hAnsi="Arial" w:cs="Arial"/>
          <w:sz w:val="22"/>
          <w:szCs w:val="22"/>
          <w:lang w:val="en-GB"/>
        </w:rPr>
      </w:pPr>
      <w:r w:rsidRPr="006F7D64">
        <w:rPr>
          <w:rFonts w:ascii="Arial" w:hAnsi="Arial" w:cs="Arial"/>
          <w:sz w:val="22"/>
          <w:szCs w:val="22"/>
          <w:lang w:val="en-GB"/>
        </w:rPr>
        <w:t xml:space="preserve">Standard &amp; Poor’s          </w:t>
      </w:r>
      <w:r w:rsidR="08549489" w:rsidRPr="1E780F35">
        <w:rPr>
          <w:rFonts w:ascii="Arial" w:hAnsi="Arial" w:cs="Arial"/>
          <w:sz w:val="22"/>
          <w:szCs w:val="22"/>
          <w:lang w:val="en-GB"/>
        </w:rPr>
        <w:t>A</w:t>
      </w:r>
      <w:r w:rsidRPr="006F7D64">
        <w:rPr>
          <w:rFonts w:ascii="Arial" w:hAnsi="Arial" w:cs="Arial"/>
          <w:sz w:val="22"/>
          <w:szCs w:val="22"/>
          <w:lang w:val="en-GB"/>
        </w:rPr>
        <w:t xml:space="preserve"> (Strong commitment)</w:t>
      </w:r>
    </w:p>
    <w:p w14:paraId="414DD3AF" w14:textId="77777777" w:rsidR="00A86622" w:rsidRPr="00A86622" w:rsidRDefault="00A86622" w:rsidP="00A86622">
      <w:pPr>
        <w:ind w:left="993"/>
        <w:rPr>
          <w:rFonts w:ascii="Arial" w:hAnsi="Arial" w:cs="Arial"/>
          <w:sz w:val="22"/>
          <w:szCs w:val="22"/>
          <w:lang w:val="en-GB"/>
        </w:rPr>
      </w:pPr>
    </w:p>
    <w:p w14:paraId="61BEBB03" w14:textId="068E6FDF" w:rsidR="00A86622" w:rsidRDefault="00A86622" w:rsidP="00A86622">
      <w:pPr>
        <w:numPr>
          <w:ilvl w:val="1"/>
          <w:numId w:val="1"/>
        </w:numPr>
        <w:tabs>
          <w:tab w:val="num" w:pos="993"/>
        </w:tabs>
        <w:ind w:left="993" w:hanging="633"/>
        <w:rPr>
          <w:rFonts w:ascii="Arial" w:hAnsi="Arial" w:cs="Arial"/>
          <w:sz w:val="22"/>
          <w:szCs w:val="22"/>
          <w:lang w:val="en-GB"/>
        </w:rPr>
      </w:pPr>
      <w:r w:rsidRPr="00A86622">
        <w:rPr>
          <w:rFonts w:ascii="Arial" w:hAnsi="Arial" w:cs="Arial"/>
          <w:sz w:val="22"/>
          <w:szCs w:val="22"/>
          <w:lang w:val="en-GB"/>
        </w:rPr>
        <w:t xml:space="preserve">Building Societies, apart from the Nationwide, are not given credit ratings by the rating agencies. The Building Societies that the University is using are strongly monitored and regulated by the FSA </w:t>
      </w:r>
      <w:r w:rsidR="2AFAA8D0" w:rsidRPr="67F092B5">
        <w:rPr>
          <w:rFonts w:ascii="Arial" w:hAnsi="Arial" w:cs="Arial"/>
          <w:sz w:val="22"/>
          <w:szCs w:val="22"/>
          <w:lang w:val="en-GB"/>
        </w:rPr>
        <w:t>(Financial Services Authority)</w:t>
      </w:r>
      <w:r w:rsidRPr="67F092B5">
        <w:rPr>
          <w:rFonts w:ascii="Arial" w:hAnsi="Arial" w:cs="Arial"/>
          <w:sz w:val="22"/>
          <w:szCs w:val="22"/>
          <w:lang w:val="en-GB"/>
        </w:rPr>
        <w:t xml:space="preserve"> and FCA</w:t>
      </w:r>
      <w:r w:rsidR="0D98AEEC" w:rsidRPr="5AAF2B04">
        <w:rPr>
          <w:rFonts w:ascii="Arial" w:hAnsi="Arial" w:cs="Arial"/>
          <w:sz w:val="22"/>
          <w:szCs w:val="22"/>
          <w:lang w:val="en-GB"/>
        </w:rPr>
        <w:t xml:space="preserve"> (Financial Conduct Authority)</w:t>
      </w:r>
      <w:r w:rsidRPr="5AAF2B04">
        <w:rPr>
          <w:rFonts w:ascii="Arial" w:hAnsi="Arial" w:cs="Arial"/>
          <w:sz w:val="22"/>
          <w:szCs w:val="22"/>
          <w:lang w:val="en-GB"/>
        </w:rPr>
        <w:t>.</w:t>
      </w:r>
      <w:r w:rsidRPr="00A86622">
        <w:rPr>
          <w:rFonts w:ascii="Arial" w:hAnsi="Arial" w:cs="Arial"/>
          <w:sz w:val="22"/>
          <w:szCs w:val="22"/>
          <w:lang w:val="en-GB"/>
        </w:rPr>
        <w:t xml:space="preserve"> The Bank of England’s Prudential Regulation Authority also runs regular stress and scenario testing on Building Societies. The following Building Societies may be used:</w:t>
      </w:r>
    </w:p>
    <w:p w14:paraId="2D698EE1" w14:textId="77777777" w:rsidR="006F7D64" w:rsidRPr="00A86622" w:rsidRDefault="006F7D64" w:rsidP="006F7D64">
      <w:pPr>
        <w:ind w:left="993"/>
        <w:rPr>
          <w:rFonts w:ascii="Arial" w:hAnsi="Arial" w:cs="Arial"/>
          <w:sz w:val="22"/>
          <w:szCs w:val="22"/>
          <w:lang w:val="en-GB"/>
        </w:rPr>
      </w:pPr>
    </w:p>
    <w:p w14:paraId="6D194525" w14:textId="77777777" w:rsidR="00A86622" w:rsidRPr="006F7D64" w:rsidRDefault="00A86622">
      <w:pPr>
        <w:pStyle w:val="ListParagraph"/>
        <w:numPr>
          <w:ilvl w:val="1"/>
          <w:numId w:val="11"/>
        </w:numPr>
        <w:rPr>
          <w:rFonts w:ascii="Arial" w:hAnsi="Arial" w:cs="Arial"/>
          <w:sz w:val="22"/>
          <w:szCs w:val="22"/>
          <w:lang w:val="en-GB"/>
        </w:rPr>
      </w:pPr>
      <w:r w:rsidRPr="006F7D64">
        <w:rPr>
          <w:rFonts w:ascii="Arial" w:hAnsi="Arial" w:cs="Arial"/>
          <w:sz w:val="22"/>
          <w:szCs w:val="22"/>
          <w:lang w:val="en-GB"/>
        </w:rPr>
        <w:t>National Counties Building Society</w:t>
      </w:r>
    </w:p>
    <w:p w14:paraId="7D7E7B39" w14:textId="77777777" w:rsidR="00A86622" w:rsidRPr="006F7D64" w:rsidRDefault="00A86622">
      <w:pPr>
        <w:pStyle w:val="ListParagraph"/>
        <w:numPr>
          <w:ilvl w:val="1"/>
          <w:numId w:val="11"/>
        </w:numPr>
        <w:rPr>
          <w:rFonts w:ascii="Arial" w:hAnsi="Arial" w:cs="Arial"/>
          <w:sz w:val="22"/>
          <w:szCs w:val="22"/>
          <w:lang w:val="en-GB"/>
        </w:rPr>
      </w:pPr>
      <w:r w:rsidRPr="006F7D64">
        <w:rPr>
          <w:rFonts w:ascii="Arial" w:hAnsi="Arial" w:cs="Arial"/>
          <w:sz w:val="22"/>
          <w:szCs w:val="22"/>
          <w:lang w:val="en-GB"/>
        </w:rPr>
        <w:t>Nationwide Building Society</w:t>
      </w:r>
    </w:p>
    <w:p w14:paraId="784A315D" w14:textId="77777777" w:rsidR="00A86622" w:rsidRPr="006F7D64" w:rsidRDefault="00A86622">
      <w:pPr>
        <w:pStyle w:val="ListParagraph"/>
        <w:numPr>
          <w:ilvl w:val="1"/>
          <w:numId w:val="11"/>
        </w:numPr>
        <w:rPr>
          <w:rFonts w:ascii="Arial" w:hAnsi="Arial" w:cs="Arial"/>
          <w:sz w:val="22"/>
          <w:szCs w:val="22"/>
          <w:lang w:val="en-GB"/>
        </w:rPr>
      </w:pPr>
      <w:r w:rsidRPr="006F7D64">
        <w:rPr>
          <w:rFonts w:ascii="Arial" w:hAnsi="Arial" w:cs="Arial"/>
          <w:sz w:val="22"/>
          <w:szCs w:val="22"/>
          <w:lang w:val="en-GB"/>
        </w:rPr>
        <w:t>Newcastle Building Society</w:t>
      </w:r>
    </w:p>
    <w:p w14:paraId="5154C022" w14:textId="77777777" w:rsidR="00A86622" w:rsidRPr="006F7D64" w:rsidRDefault="00A86622">
      <w:pPr>
        <w:pStyle w:val="ListParagraph"/>
        <w:numPr>
          <w:ilvl w:val="1"/>
          <w:numId w:val="11"/>
        </w:numPr>
        <w:rPr>
          <w:rFonts w:ascii="Arial" w:hAnsi="Arial" w:cs="Arial"/>
          <w:sz w:val="22"/>
          <w:szCs w:val="22"/>
          <w:lang w:val="en-GB"/>
        </w:rPr>
      </w:pPr>
      <w:r w:rsidRPr="006F7D64">
        <w:rPr>
          <w:rFonts w:ascii="Arial" w:hAnsi="Arial" w:cs="Arial"/>
          <w:sz w:val="22"/>
          <w:szCs w:val="22"/>
          <w:lang w:val="en-GB"/>
        </w:rPr>
        <w:t>Nottingham Building Society</w:t>
      </w:r>
    </w:p>
    <w:p w14:paraId="3B5BC23A" w14:textId="77777777" w:rsidR="00A86622" w:rsidRPr="006F7D64" w:rsidRDefault="00A86622">
      <w:pPr>
        <w:pStyle w:val="ListParagraph"/>
        <w:numPr>
          <w:ilvl w:val="1"/>
          <w:numId w:val="11"/>
        </w:numPr>
        <w:rPr>
          <w:rFonts w:ascii="Arial" w:hAnsi="Arial" w:cs="Arial"/>
          <w:sz w:val="22"/>
          <w:szCs w:val="22"/>
          <w:lang w:val="en-GB"/>
        </w:rPr>
      </w:pPr>
      <w:r w:rsidRPr="006F7D64">
        <w:rPr>
          <w:rFonts w:ascii="Arial" w:hAnsi="Arial" w:cs="Arial"/>
          <w:sz w:val="22"/>
          <w:szCs w:val="22"/>
          <w:lang w:val="en-GB"/>
        </w:rPr>
        <w:t>Principality Building Society; and</w:t>
      </w:r>
    </w:p>
    <w:p w14:paraId="4A36F7CC" w14:textId="77777777" w:rsidR="00A86622" w:rsidRPr="006F7D64" w:rsidRDefault="00A86622">
      <w:pPr>
        <w:pStyle w:val="ListParagraph"/>
        <w:numPr>
          <w:ilvl w:val="1"/>
          <w:numId w:val="11"/>
        </w:numPr>
        <w:rPr>
          <w:rFonts w:ascii="Arial" w:hAnsi="Arial" w:cs="Arial"/>
          <w:sz w:val="22"/>
          <w:szCs w:val="22"/>
          <w:lang w:val="en-GB"/>
        </w:rPr>
      </w:pPr>
      <w:r w:rsidRPr="006F7D64">
        <w:rPr>
          <w:rFonts w:ascii="Arial" w:hAnsi="Arial" w:cs="Arial"/>
          <w:sz w:val="22"/>
          <w:szCs w:val="22"/>
          <w:lang w:val="en-GB"/>
        </w:rPr>
        <w:t>West Bromwich Building Society.</w:t>
      </w:r>
    </w:p>
    <w:p w14:paraId="39CD26F3" w14:textId="77777777" w:rsidR="00A86622" w:rsidRPr="00A86622" w:rsidRDefault="00A86622" w:rsidP="00A86622">
      <w:pPr>
        <w:ind w:left="993"/>
        <w:rPr>
          <w:rFonts w:ascii="Arial" w:hAnsi="Arial" w:cs="Arial"/>
          <w:sz w:val="22"/>
          <w:szCs w:val="22"/>
          <w:lang w:val="en-GB"/>
        </w:rPr>
      </w:pPr>
    </w:p>
    <w:p w14:paraId="0E5C09F4" w14:textId="77777777" w:rsidR="00A86622" w:rsidRPr="00A86622" w:rsidRDefault="00A86622" w:rsidP="00A86622">
      <w:pPr>
        <w:ind w:left="993"/>
        <w:rPr>
          <w:rFonts w:ascii="Arial" w:hAnsi="Arial" w:cs="Arial"/>
          <w:b/>
          <w:bCs/>
          <w:sz w:val="22"/>
          <w:szCs w:val="22"/>
          <w:lang w:val="en-GB"/>
        </w:rPr>
      </w:pPr>
      <w:r w:rsidRPr="00A86622">
        <w:rPr>
          <w:rFonts w:ascii="Arial" w:hAnsi="Arial" w:cs="Arial"/>
          <w:b/>
          <w:bCs/>
          <w:sz w:val="22"/>
          <w:szCs w:val="22"/>
          <w:lang w:val="en-GB"/>
        </w:rPr>
        <w:t>Counterparty limits</w:t>
      </w:r>
    </w:p>
    <w:p w14:paraId="7BF688AA" w14:textId="77777777" w:rsidR="00A86622" w:rsidRPr="00A86622" w:rsidRDefault="00A86622" w:rsidP="00A86622">
      <w:pPr>
        <w:ind w:left="993"/>
        <w:rPr>
          <w:rFonts w:ascii="Arial" w:hAnsi="Arial" w:cs="Arial"/>
          <w:sz w:val="22"/>
          <w:szCs w:val="22"/>
          <w:lang w:val="en-GB"/>
        </w:rPr>
      </w:pPr>
    </w:p>
    <w:p w14:paraId="3BE5D659" w14:textId="5F11EDF0" w:rsidR="00A86622" w:rsidRDefault="00A86622" w:rsidP="00A86622">
      <w:pPr>
        <w:numPr>
          <w:ilvl w:val="1"/>
          <w:numId w:val="1"/>
        </w:numPr>
        <w:tabs>
          <w:tab w:val="num" w:pos="993"/>
        </w:tabs>
        <w:ind w:left="993" w:hanging="633"/>
        <w:rPr>
          <w:rFonts w:ascii="Arial" w:hAnsi="Arial" w:cs="Arial"/>
          <w:sz w:val="22"/>
          <w:szCs w:val="22"/>
          <w:lang w:val="en-GB"/>
        </w:rPr>
      </w:pPr>
      <w:r w:rsidRPr="00A86622">
        <w:rPr>
          <w:rFonts w:ascii="Arial" w:hAnsi="Arial" w:cs="Arial"/>
          <w:sz w:val="22"/>
          <w:szCs w:val="22"/>
          <w:lang w:val="en-GB"/>
        </w:rPr>
        <w:t>To minimise exposure to the failure of any single counterparty, deposits with individual counterparties are limited to:</w:t>
      </w:r>
    </w:p>
    <w:p w14:paraId="4DE1E8AD" w14:textId="77777777" w:rsidR="00A86622" w:rsidRPr="00A86622" w:rsidRDefault="00A86622" w:rsidP="00A86622">
      <w:pPr>
        <w:ind w:left="993"/>
        <w:rPr>
          <w:rFonts w:ascii="Arial" w:hAnsi="Arial" w:cs="Arial"/>
          <w:sz w:val="22"/>
          <w:szCs w:val="22"/>
          <w:lang w:val="en-GB"/>
        </w:rPr>
      </w:pPr>
    </w:p>
    <w:p w14:paraId="7B5CE015" w14:textId="77777777" w:rsidR="00A86622" w:rsidRPr="00A86622" w:rsidRDefault="00A86622">
      <w:pPr>
        <w:pStyle w:val="ListParagraph"/>
        <w:numPr>
          <w:ilvl w:val="0"/>
          <w:numId w:val="9"/>
        </w:numPr>
        <w:rPr>
          <w:rFonts w:ascii="Arial" w:hAnsi="Arial" w:cs="Arial"/>
          <w:sz w:val="22"/>
          <w:szCs w:val="22"/>
          <w:lang w:val="en-GB"/>
        </w:rPr>
      </w:pPr>
      <w:r w:rsidRPr="00A86622">
        <w:rPr>
          <w:rFonts w:ascii="Arial" w:hAnsi="Arial" w:cs="Arial"/>
          <w:sz w:val="22"/>
          <w:szCs w:val="22"/>
          <w:lang w:val="en-GB"/>
        </w:rPr>
        <w:t>Instant access Federated investors sterling liquidity funds: 30% of the minimum forecast cash balance over the following 12 months at the time of placing the deposit or £15m, whichever is the greater.</w:t>
      </w:r>
    </w:p>
    <w:p w14:paraId="350D77F8" w14:textId="77777777" w:rsidR="00A86622" w:rsidRPr="00A86622" w:rsidRDefault="00A86622">
      <w:pPr>
        <w:numPr>
          <w:ilvl w:val="1"/>
          <w:numId w:val="10"/>
        </w:numPr>
        <w:rPr>
          <w:rFonts w:ascii="Arial" w:hAnsi="Arial" w:cs="Arial"/>
          <w:sz w:val="22"/>
          <w:szCs w:val="22"/>
          <w:lang w:val="en-GB"/>
        </w:rPr>
      </w:pPr>
      <w:r w:rsidRPr="00A86622">
        <w:rPr>
          <w:rFonts w:ascii="Arial" w:hAnsi="Arial" w:cs="Arial"/>
          <w:sz w:val="22"/>
          <w:szCs w:val="22"/>
          <w:lang w:val="en-GB"/>
        </w:rPr>
        <w:t>A separate clearing limit of £20m (to include all instant access accounts)</w:t>
      </w:r>
    </w:p>
    <w:p w14:paraId="60C04620" w14:textId="77777777" w:rsidR="00A86622" w:rsidRPr="00A86622" w:rsidRDefault="00A86622">
      <w:pPr>
        <w:numPr>
          <w:ilvl w:val="1"/>
          <w:numId w:val="10"/>
        </w:numPr>
        <w:rPr>
          <w:rFonts w:ascii="Arial" w:hAnsi="Arial" w:cs="Arial"/>
          <w:sz w:val="22"/>
          <w:szCs w:val="22"/>
          <w:lang w:val="en-GB"/>
        </w:rPr>
      </w:pPr>
      <w:r w:rsidRPr="00A86622">
        <w:rPr>
          <w:rFonts w:ascii="Arial" w:hAnsi="Arial" w:cs="Arial"/>
          <w:sz w:val="22"/>
          <w:szCs w:val="22"/>
          <w:lang w:val="en-GB"/>
        </w:rPr>
        <w:t>Other placements: 20% of the minimum forecast cash balance over the following 12 months at the time of placing the deposit or £10m, whichever is the greater.</w:t>
      </w:r>
    </w:p>
    <w:p w14:paraId="4B4F1C15" w14:textId="77777777" w:rsidR="00A86622" w:rsidRDefault="00A86622">
      <w:pPr>
        <w:numPr>
          <w:ilvl w:val="0"/>
          <w:numId w:val="8"/>
        </w:numPr>
        <w:rPr>
          <w:rFonts w:ascii="Arial" w:hAnsi="Arial"/>
          <w:iCs/>
          <w:sz w:val="22"/>
          <w:szCs w:val="22"/>
        </w:rPr>
      </w:pPr>
      <w:r>
        <w:rPr>
          <w:rFonts w:ascii="Arial" w:hAnsi="Arial"/>
          <w:iCs/>
          <w:sz w:val="22"/>
          <w:szCs w:val="22"/>
        </w:rPr>
        <w:t>To avoid exposure to any single country risk, the total value of deposits placed with counterparties based in a single non-UK country is £5m.</w:t>
      </w:r>
    </w:p>
    <w:p w14:paraId="08F86E5C" w14:textId="77777777" w:rsidR="00AE6A56" w:rsidRPr="004261CD" w:rsidRDefault="00AE6A56" w:rsidP="00AE6A56">
      <w:pPr>
        <w:ind w:left="993"/>
        <w:rPr>
          <w:rFonts w:ascii="Arial" w:hAnsi="Arial" w:cs="Arial"/>
          <w:sz w:val="22"/>
          <w:szCs w:val="22"/>
          <w:lang w:val="en-GB"/>
        </w:rPr>
      </w:pPr>
    </w:p>
    <w:p w14:paraId="2233D888" w14:textId="77777777" w:rsidR="001D2776" w:rsidRDefault="00CE6358" w:rsidP="00AE6A56">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University’s </w:t>
      </w:r>
      <w:r w:rsidR="009D40DF" w:rsidRPr="004261CD">
        <w:rPr>
          <w:rFonts w:ascii="Arial" w:hAnsi="Arial" w:cs="Arial"/>
          <w:sz w:val="22"/>
          <w:szCs w:val="22"/>
          <w:lang w:val="en-GB"/>
        </w:rPr>
        <w:t xml:space="preserve">main </w:t>
      </w:r>
      <w:r w:rsidRPr="004261CD">
        <w:rPr>
          <w:rFonts w:ascii="Arial" w:hAnsi="Arial" w:cs="Arial"/>
          <w:sz w:val="22"/>
          <w:szCs w:val="22"/>
          <w:lang w:val="en-GB"/>
        </w:rPr>
        <w:t xml:space="preserve">banker (currently Barclays Bank) must meet the </w:t>
      </w:r>
      <w:r w:rsidR="009D40DF" w:rsidRPr="004261CD">
        <w:rPr>
          <w:rFonts w:ascii="Arial" w:hAnsi="Arial" w:cs="Arial"/>
          <w:sz w:val="22"/>
          <w:szCs w:val="22"/>
          <w:lang w:val="en-GB"/>
        </w:rPr>
        <w:t xml:space="preserve">minimum </w:t>
      </w:r>
      <w:r w:rsidRPr="004261CD">
        <w:rPr>
          <w:rFonts w:ascii="Arial" w:hAnsi="Arial" w:cs="Arial"/>
          <w:sz w:val="22"/>
          <w:szCs w:val="22"/>
          <w:lang w:val="en-GB"/>
        </w:rPr>
        <w:t>credit rating</w:t>
      </w:r>
      <w:r w:rsidR="009D40DF" w:rsidRPr="004261CD">
        <w:rPr>
          <w:rFonts w:ascii="Arial" w:hAnsi="Arial" w:cs="Arial"/>
          <w:sz w:val="22"/>
          <w:szCs w:val="22"/>
          <w:lang w:val="en-GB"/>
        </w:rPr>
        <w:t xml:space="preserve"> threshold</w:t>
      </w:r>
      <w:r w:rsidRPr="004261CD">
        <w:rPr>
          <w:rFonts w:ascii="Arial" w:hAnsi="Arial" w:cs="Arial"/>
          <w:sz w:val="22"/>
          <w:szCs w:val="22"/>
          <w:lang w:val="en-GB"/>
        </w:rPr>
        <w:t xml:space="preserve">s </w:t>
      </w:r>
      <w:r w:rsidR="009D40DF" w:rsidRPr="004261CD">
        <w:rPr>
          <w:rFonts w:ascii="Arial" w:hAnsi="Arial" w:cs="Arial"/>
          <w:sz w:val="22"/>
          <w:szCs w:val="22"/>
          <w:lang w:val="en-GB"/>
        </w:rPr>
        <w:t xml:space="preserve">but may </w:t>
      </w:r>
      <w:r w:rsidR="2A93677D" w:rsidRPr="004261CD">
        <w:rPr>
          <w:rFonts w:ascii="Arial" w:hAnsi="Arial" w:cs="Arial"/>
          <w:sz w:val="22"/>
          <w:szCs w:val="22"/>
          <w:lang w:val="en-GB"/>
        </w:rPr>
        <w:t>temporarily</w:t>
      </w:r>
      <w:r w:rsidR="009D40DF" w:rsidRPr="004261CD">
        <w:rPr>
          <w:rFonts w:ascii="Arial" w:hAnsi="Arial" w:cs="Arial"/>
          <w:sz w:val="22"/>
          <w:szCs w:val="22"/>
          <w:lang w:val="en-GB"/>
        </w:rPr>
        <w:t xml:space="preserve"> exceed the </w:t>
      </w:r>
      <w:r w:rsidRPr="004261CD">
        <w:rPr>
          <w:rFonts w:ascii="Arial" w:hAnsi="Arial" w:cs="Arial"/>
          <w:sz w:val="22"/>
          <w:szCs w:val="22"/>
          <w:lang w:val="en-GB"/>
        </w:rPr>
        <w:t xml:space="preserve">related maximum investment thresholds set out </w:t>
      </w:r>
      <w:r w:rsidR="003D5A60" w:rsidRPr="004261CD">
        <w:rPr>
          <w:rFonts w:ascii="Arial" w:hAnsi="Arial" w:cs="Arial"/>
          <w:sz w:val="22"/>
          <w:szCs w:val="22"/>
          <w:lang w:val="en-GB"/>
        </w:rPr>
        <w:t>in 3</w:t>
      </w:r>
      <w:r w:rsidRPr="004261CD">
        <w:rPr>
          <w:rFonts w:ascii="Arial" w:hAnsi="Arial" w:cs="Arial"/>
          <w:sz w:val="22"/>
          <w:szCs w:val="22"/>
          <w:lang w:val="en-GB"/>
        </w:rPr>
        <w:t>.</w:t>
      </w:r>
      <w:r w:rsidR="006F7D64">
        <w:rPr>
          <w:rFonts w:ascii="Arial" w:hAnsi="Arial" w:cs="Arial"/>
          <w:sz w:val="22"/>
          <w:szCs w:val="22"/>
          <w:lang w:val="en-GB"/>
        </w:rPr>
        <w:t>3</w:t>
      </w:r>
      <w:r w:rsidRPr="004261CD">
        <w:rPr>
          <w:rFonts w:ascii="Arial" w:hAnsi="Arial" w:cs="Arial"/>
          <w:sz w:val="22"/>
          <w:szCs w:val="22"/>
          <w:lang w:val="en-GB"/>
        </w:rPr>
        <w:t xml:space="preserve"> above</w:t>
      </w:r>
      <w:r w:rsidR="009D40DF" w:rsidRPr="004261CD">
        <w:rPr>
          <w:rFonts w:ascii="Arial" w:hAnsi="Arial" w:cs="Arial"/>
          <w:sz w:val="22"/>
          <w:szCs w:val="22"/>
          <w:lang w:val="en-GB"/>
        </w:rPr>
        <w:t xml:space="preserve"> to </w:t>
      </w:r>
      <w:r w:rsidR="08B1F871" w:rsidRPr="004261CD">
        <w:rPr>
          <w:rFonts w:ascii="Arial" w:hAnsi="Arial" w:cs="Arial"/>
          <w:sz w:val="22"/>
          <w:szCs w:val="22"/>
          <w:lang w:val="en-GB"/>
        </w:rPr>
        <w:t>facilitate</w:t>
      </w:r>
      <w:r w:rsidR="009D40DF" w:rsidRPr="004261CD">
        <w:rPr>
          <w:rFonts w:ascii="Arial" w:hAnsi="Arial" w:cs="Arial"/>
          <w:sz w:val="22"/>
          <w:szCs w:val="22"/>
          <w:lang w:val="en-GB"/>
        </w:rPr>
        <w:t xml:space="preserve"> day to day operations</w:t>
      </w:r>
      <w:r w:rsidRPr="004261CD">
        <w:rPr>
          <w:rFonts w:ascii="Arial" w:hAnsi="Arial" w:cs="Arial"/>
          <w:sz w:val="22"/>
          <w:szCs w:val="22"/>
          <w:lang w:val="en-GB"/>
        </w:rPr>
        <w:t>.</w:t>
      </w:r>
    </w:p>
    <w:p w14:paraId="3DAE79A4" w14:textId="26B34C00" w:rsidR="007814F0" w:rsidRPr="004261CD" w:rsidRDefault="001D2776" w:rsidP="00AE6A56">
      <w:pPr>
        <w:numPr>
          <w:ilvl w:val="1"/>
          <w:numId w:val="1"/>
        </w:numPr>
        <w:tabs>
          <w:tab w:val="num" w:pos="993"/>
        </w:tabs>
        <w:ind w:left="993" w:hanging="633"/>
        <w:rPr>
          <w:rFonts w:ascii="Arial" w:hAnsi="Arial" w:cs="Arial"/>
          <w:sz w:val="22"/>
          <w:szCs w:val="22"/>
          <w:lang w:val="en-GB"/>
        </w:rPr>
      </w:pPr>
      <w:r>
        <w:rPr>
          <w:rFonts w:ascii="Arial" w:hAnsi="Arial" w:cs="Arial"/>
          <w:sz w:val="22"/>
          <w:szCs w:val="22"/>
          <w:lang w:val="en-GB"/>
        </w:rPr>
        <w:t>The University’s appointed Investment Manager, Investec must place funds only in companies which meet the minimum placement criteria as stated in 3.9</w:t>
      </w:r>
      <w:r w:rsidR="00A108EE">
        <w:rPr>
          <w:rFonts w:ascii="Arial" w:hAnsi="Arial" w:cs="Arial"/>
          <w:sz w:val="22"/>
          <w:szCs w:val="22"/>
          <w:lang w:val="en-GB"/>
        </w:rPr>
        <w:t>. Investec is not credit rated</w:t>
      </w:r>
      <w:r w:rsidR="00636F63">
        <w:rPr>
          <w:rFonts w:ascii="Arial" w:hAnsi="Arial" w:cs="Arial"/>
          <w:sz w:val="22"/>
          <w:szCs w:val="22"/>
          <w:lang w:val="en-GB"/>
        </w:rPr>
        <w:t xml:space="preserve">. </w:t>
      </w:r>
    </w:p>
    <w:p w14:paraId="0AFBCB9F" w14:textId="77777777" w:rsidR="003D5A60" w:rsidRPr="004261CD" w:rsidRDefault="003D5A60" w:rsidP="003D5A60">
      <w:pPr>
        <w:pStyle w:val="ListParagraph"/>
        <w:rPr>
          <w:rFonts w:ascii="Arial" w:hAnsi="Arial" w:cs="Arial"/>
          <w:sz w:val="22"/>
          <w:szCs w:val="22"/>
          <w:lang w:val="en-GB"/>
        </w:rPr>
      </w:pPr>
    </w:p>
    <w:p w14:paraId="78BF5C57" w14:textId="65FAF0F7" w:rsidR="003950EC" w:rsidRPr="004261CD" w:rsidRDefault="003950EC" w:rsidP="003D5A60">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Where </w:t>
      </w:r>
      <w:r w:rsidR="00322363" w:rsidRPr="004261CD">
        <w:rPr>
          <w:rFonts w:ascii="Arial" w:hAnsi="Arial" w:cs="Arial"/>
          <w:sz w:val="22"/>
          <w:szCs w:val="22"/>
          <w:lang w:val="en-GB"/>
        </w:rPr>
        <w:t>the credit</w:t>
      </w:r>
      <w:r w:rsidRPr="004261CD">
        <w:rPr>
          <w:rFonts w:ascii="Arial" w:hAnsi="Arial" w:cs="Arial"/>
          <w:sz w:val="22"/>
          <w:szCs w:val="22"/>
          <w:lang w:val="en-GB"/>
        </w:rPr>
        <w:t xml:space="preserve"> rating of a bank or other financial institution falls below the minimum</w:t>
      </w:r>
      <w:r w:rsidR="00836644" w:rsidRPr="004261CD">
        <w:rPr>
          <w:rFonts w:ascii="Arial" w:hAnsi="Arial" w:cs="Arial"/>
          <w:sz w:val="22"/>
          <w:szCs w:val="22"/>
          <w:lang w:val="en-GB"/>
        </w:rPr>
        <w:t xml:space="preserve"> </w:t>
      </w:r>
      <w:r w:rsidR="00D21F8C" w:rsidRPr="004261CD">
        <w:rPr>
          <w:rFonts w:ascii="Arial" w:hAnsi="Arial" w:cs="Arial"/>
          <w:sz w:val="22"/>
          <w:szCs w:val="22"/>
          <w:lang w:val="en-GB"/>
        </w:rPr>
        <w:t>rating in</w:t>
      </w:r>
      <w:r w:rsidR="003D5A60" w:rsidRPr="004261CD">
        <w:rPr>
          <w:rFonts w:ascii="Arial" w:hAnsi="Arial" w:cs="Arial"/>
          <w:sz w:val="22"/>
          <w:szCs w:val="22"/>
          <w:lang w:val="en-GB"/>
        </w:rPr>
        <w:t xml:space="preserve"> 3</w:t>
      </w:r>
      <w:r w:rsidR="00322363" w:rsidRPr="004261CD">
        <w:rPr>
          <w:rFonts w:ascii="Arial" w:hAnsi="Arial" w:cs="Arial"/>
          <w:sz w:val="22"/>
          <w:szCs w:val="22"/>
          <w:lang w:val="en-GB"/>
        </w:rPr>
        <w:t>.</w:t>
      </w:r>
      <w:r w:rsidR="006F7D64">
        <w:rPr>
          <w:rFonts w:ascii="Arial" w:hAnsi="Arial" w:cs="Arial"/>
          <w:sz w:val="22"/>
          <w:szCs w:val="22"/>
          <w:lang w:val="en-GB"/>
        </w:rPr>
        <w:t>3</w:t>
      </w:r>
      <w:r w:rsidR="00322363" w:rsidRPr="004261CD">
        <w:rPr>
          <w:rFonts w:ascii="Arial" w:hAnsi="Arial" w:cs="Arial"/>
          <w:sz w:val="22"/>
          <w:szCs w:val="22"/>
          <w:lang w:val="en-GB"/>
        </w:rPr>
        <w:t xml:space="preserve"> above, the </w:t>
      </w:r>
      <w:r w:rsidR="00252C0A">
        <w:rPr>
          <w:rFonts w:ascii="Arial" w:hAnsi="Arial" w:cs="Arial"/>
          <w:sz w:val="22"/>
          <w:szCs w:val="22"/>
          <w:lang w:val="en-GB"/>
        </w:rPr>
        <w:t xml:space="preserve">Chief Operating Officer </w:t>
      </w:r>
      <w:r w:rsidR="00322363" w:rsidRPr="004261CD">
        <w:rPr>
          <w:rFonts w:ascii="Arial" w:hAnsi="Arial" w:cs="Arial"/>
          <w:sz w:val="22"/>
          <w:szCs w:val="22"/>
          <w:lang w:val="en-GB"/>
        </w:rPr>
        <w:t xml:space="preserve">must inform the </w:t>
      </w:r>
      <w:r w:rsidR="004261CD" w:rsidRPr="004261CD">
        <w:rPr>
          <w:rFonts w:ascii="Arial" w:hAnsi="Arial" w:cs="Arial"/>
          <w:sz w:val="22"/>
          <w:szCs w:val="22"/>
          <w:lang w:val="en-GB"/>
        </w:rPr>
        <w:t>Finance and Resources Committee</w:t>
      </w:r>
      <w:r w:rsidR="00322363" w:rsidRPr="004261CD">
        <w:rPr>
          <w:rFonts w:ascii="Arial" w:hAnsi="Arial" w:cs="Arial"/>
          <w:sz w:val="22"/>
          <w:szCs w:val="22"/>
          <w:lang w:val="en-GB"/>
        </w:rPr>
        <w:t xml:space="preserve"> at its next meeting, </w:t>
      </w:r>
      <w:r w:rsidR="00ED4863" w:rsidRPr="004261CD">
        <w:rPr>
          <w:rFonts w:ascii="Arial" w:hAnsi="Arial" w:cs="Arial"/>
          <w:sz w:val="22"/>
          <w:szCs w:val="22"/>
          <w:lang w:val="en-GB"/>
        </w:rPr>
        <w:t>or if circumstances dictate</w:t>
      </w:r>
      <w:r w:rsidR="00322363" w:rsidRPr="004261CD">
        <w:rPr>
          <w:rFonts w:ascii="Arial" w:hAnsi="Arial" w:cs="Arial"/>
          <w:sz w:val="22"/>
          <w:szCs w:val="22"/>
          <w:lang w:val="en-GB"/>
        </w:rPr>
        <w:t xml:space="preserve"> the Chair of the </w:t>
      </w:r>
      <w:r w:rsidR="004261CD" w:rsidRPr="004261CD">
        <w:rPr>
          <w:rFonts w:ascii="Arial" w:hAnsi="Arial" w:cs="Arial"/>
          <w:sz w:val="22"/>
          <w:szCs w:val="22"/>
          <w:lang w:val="en-GB"/>
        </w:rPr>
        <w:t>Finance and Resources Committee</w:t>
      </w:r>
      <w:r w:rsidR="00322363" w:rsidRPr="004261CD">
        <w:rPr>
          <w:rFonts w:ascii="Arial" w:hAnsi="Arial" w:cs="Arial"/>
          <w:sz w:val="22"/>
          <w:szCs w:val="22"/>
          <w:lang w:val="en-GB"/>
        </w:rPr>
        <w:t xml:space="preserve"> at an earlier time.</w:t>
      </w:r>
    </w:p>
    <w:p w14:paraId="60465DAE" w14:textId="77777777" w:rsidR="00BE6BCA" w:rsidRPr="004261CD" w:rsidRDefault="00BE6BCA" w:rsidP="00BE6BCA">
      <w:pPr>
        <w:ind w:left="993"/>
        <w:rPr>
          <w:rFonts w:ascii="Arial" w:hAnsi="Arial" w:cs="Arial"/>
          <w:sz w:val="22"/>
          <w:szCs w:val="22"/>
          <w:lang w:val="en-GB"/>
        </w:rPr>
      </w:pPr>
    </w:p>
    <w:p w14:paraId="0684C198" w14:textId="6D0F3197" w:rsidR="00BE6BCA" w:rsidRPr="004261CD" w:rsidRDefault="00912D08" w:rsidP="00BE6BCA">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Short term investments may only be placed with financial institutions</w:t>
      </w:r>
      <w:r w:rsidR="002C15E0" w:rsidRPr="004261CD">
        <w:rPr>
          <w:rFonts w:ascii="Arial" w:hAnsi="Arial" w:cs="Arial"/>
          <w:sz w:val="22"/>
          <w:szCs w:val="22"/>
          <w:lang w:val="en-GB"/>
        </w:rPr>
        <w:t>/</w:t>
      </w:r>
      <w:r w:rsidRPr="004261CD">
        <w:rPr>
          <w:rFonts w:ascii="Arial" w:hAnsi="Arial" w:cs="Arial"/>
          <w:sz w:val="22"/>
          <w:szCs w:val="22"/>
          <w:lang w:val="en-GB"/>
        </w:rPr>
        <w:t>banks</w:t>
      </w:r>
      <w:r w:rsidR="00AD3A3A" w:rsidRPr="004261CD">
        <w:rPr>
          <w:rFonts w:ascii="Arial" w:hAnsi="Arial" w:cs="Arial"/>
          <w:sz w:val="22"/>
          <w:szCs w:val="22"/>
          <w:lang w:val="en-GB"/>
        </w:rPr>
        <w:t xml:space="preserve"> </w:t>
      </w:r>
      <w:r w:rsidR="002260CC" w:rsidRPr="004261CD">
        <w:rPr>
          <w:rFonts w:ascii="Arial" w:hAnsi="Arial" w:cs="Arial"/>
          <w:sz w:val="22"/>
          <w:szCs w:val="22"/>
          <w:lang w:val="en-GB"/>
        </w:rPr>
        <w:t>on</w:t>
      </w:r>
      <w:r w:rsidR="00AD3A3A" w:rsidRPr="004261CD">
        <w:rPr>
          <w:rFonts w:ascii="Arial" w:hAnsi="Arial" w:cs="Arial"/>
          <w:sz w:val="22"/>
          <w:szCs w:val="22"/>
          <w:lang w:val="en-GB"/>
        </w:rPr>
        <w:t xml:space="preserve"> a</w:t>
      </w:r>
      <w:r w:rsidRPr="004261CD">
        <w:rPr>
          <w:rFonts w:ascii="Arial" w:hAnsi="Arial" w:cs="Arial"/>
          <w:sz w:val="22"/>
          <w:szCs w:val="22"/>
          <w:lang w:val="en-GB"/>
        </w:rPr>
        <w:t xml:space="preserve"> counterpart</w:t>
      </w:r>
      <w:r w:rsidR="00BE6BCA" w:rsidRPr="004261CD">
        <w:rPr>
          <w:rFonts w:ascii="Arial" w:hAnsi="Arial" w:cs="Arial"/>
          <w:sz w:val="22"/>
          <w:szCs w:val="22"/>
          <w:lang w:val="en-GB"/>
        </w:rPr>
        <w:t>y</w:t>
      </w:r>
      <w:r w:rsidRPr="004261CD">
        <w:rPr>
          <w:rFonts w:ascii="Arial" w:hAnsi="Arial" w:cs="Arial"/>
          <w:sz w:val="22"/>
          <w:szCs w:val="22"/>
          <w:lang w:val="en-GB"/>
        </w:rPr>
        <w:t xml:space="preserve"> </w:t>
      </w:r>
      <w:r w:rsidR="002260CC" w:rsidRPr="004261CD">
        <w:rPr>
          <w:rFonts w:ascii="Arial" w:hAnsi="Arial" w:cs="Arial"/>
          <w:sz w:val="22"/>
          <w:szCs w:val="22"/>
          <w:lang w:val="en-GB"/>
        </w:rPr>
        <w:t xml:space="preserve">list </w:t>
      </w:r>
      <w:r w:rsidRPr="004261CD">
        <w:rPr>
          <w:rFonts w:ascii="Arial" w:hAnsi="Arial" w:cs="Arial"/>
          <w:sz w:val="22"/>
          <w:szCs w:val="22"/>
          <w:lang w:val="en-GB"/>
        </w:rPr>
        <w:t xml:space="preserve">approved by the </w:t>
      </w:r>
      <w:r w:rsidR="004261CD" w:rsidRPr="004261CD">
        <w:rPr>
          <w:rFonts w:ascii="Arial" w:hAnsi="Arial" w:cs="Arial"/>
          <w:sz w:val="22"/>
          <w:szCs w:val="22"/>
          <w:lang w:val="en-GB"/>
        </w:rPr>
        <w:t>Finance and Resources Committee</w:t>
      </w:r>
      <w:r w:rsidR="00764549" w:rsidRPr="004261CD">
        <w:rPr>
          <w:rFonts w:ascii="Arial" w:hAnsi="Arial" w:cs="Arial"/>
          <w:sz w:val="22"/>
          <w:szCs w:val="22"/>
          <w:lang w:val="en-GB"/>
        </w:rPr>
        <w:t>.</w:t>
      </w:r>
    </w:p>
    <w:p w14:paraId="2E038E7B" w14:textId="77777777" w:rsidR="00BE6BCA" w:rsidRPr="004261CD" w:rsidRDefault="00BE6BCA" w:rsidP="00BE6BCA">
      <w:pPr>
        <w:pStyle w:val="ListParagraph"/>
        <w:rPr>
          <w:rFonts w:ascii="Arial" w:hAnsi="Arial" w:cs="Arial"/>
          <w:sz w:val="22"/>
          <w:szCs w:val="22"/>
          <w:lang w:val="en-GB"/>
        </w:rPr>
      </w:pPr>
    </w:p>
    <w:p w14:paraId="597DC93E" w14:textId="08CD8AE8" w:rsidR="002C15E0" w:rsidRPr="004261CD" w:rsidRDefault="00CE6358" w:rsidP="00BE6BCA">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The University’s banker</w:t>
      </w:r>
      <w:r w:rsidR="006376CB" w:rsidRPr="004261CD">
        <w:rPr>
          <w:rFonts w:ascii="Arial" w:hAnsi="Arial" w:cs="Arial"/>
          <w:sz w:val="22"/>
          <w:szCs w:val="22"/>
          <w:lang w:val="en-GB"/>
        </w:rPr>
        <w:t xml:space="preserve"> (currently Barclays)</w:t>
      </w:r>
      <w:r w:rsidRPr="004261CD">
        <w:rPr>
          <w:rFonts w:ascii="Arial" w:hAnsi="Arial" w:cs="Arial"/>
          <w:sz w:val="22"/>
          <w:szCs w:val="22"/>
          <w:lang w:val="en-GB"/>
        </w:rPr>
        <w:t xml:space="preserve"> must be appointed by the </w:t>
      </w:r>
      <w:r w:rsidR="00D93DBD" w:rsidRPr="004261CD">
        <w:rPr>
          <w:rFonts w:ascii="Arial" w:hAnsi="Arial" w:cs="Arial"/>
          <w:sz w:val="22"/>
          <w:szCs w:val="22"/>
          <w:lang w:val="en-GB"/>
        </w:rPr>
        <w:t>Governing Body</w:t>
      </w:r>
      <w:r w:rsidR="00555508" w:rsidRPr="004261CD">
        <w:rPr>
          <w:rFonts w:ascii="Arial" w:hAnsi="Arial" w:cs="Arial"/>
          <w:sz w:val="22"/>
          <w:szCs w:val="22"/>
          <w:lang w:val="en-GB"/>
        </w:rPr>
        <w:t>.</w:t>
      </w:r>
    </w:p>
    <w:p w14:paraId="499E3114" w14:textId="77777777" w:rsidR="00BE6BCA" w:rsidRPr="004261CD" w:rsidRDefault="00BE6BCA" w:rsidP="00BE6BCA">
      <w:pPr>
        <w:pStyle w:val="ListParagraph"/>
        <w:rPr>
          <w:rFonts w:ascii="Arial" w:hAnsi="Arial" w:cs="Arial"/>
          <w:sz w:val="22"/>
          <w:szCs w:val="22"/>
          <w:lang w:val="en-GB"/>
        </w:rPr>
      </w:pPr>
    </w:p>
    <w:p w14:paraId="09524CF2" w14:textId="09043D67" w:rsidR="006F7D64" w:rsidRDefault="00912D08" w:rsidP="00BE6BCA">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The </w:t>
      </w:r>
      <w:r w:rsidR="00252C0A">
        <w:rPr>
          <w:rFonts w:ascii="Arial" w:hAnsi="Arial" w:cs="Arial"/>
          <w:sz w:val="22"/>
          <w:szCs w:val="22"/>
          <w:lang w:val="en-GB"/>
        </w:rPr>
        <w:t xml:space="preserve">Chief Operating Officer </w:t>
      </w:r>
      <w:r w:rsidRPr="004261CD">
        <w:rPr>
          <w:rFonts w:ascii="Arial" w:hAnsi="Arial" w:cs="Arial"/>
          <w:sz w:val="22"/>
          <w:szCs w:val="22"/>
          <w:lang w:val="en-GB"/>
        </w:rPr>
        <w:t>shall put</w:t>
      </w:r>
      <w:r w:rsidR="000156A1" w:rsidRPr="004261CD">
        <w:rPr>
          <w:rFonts w:ascii="Arial" w:hAnsi="Arial" w:cs="Arial"/>
          <w:sz w:val="22"/>
          <w:szCs w:val="22"/>
          <w:lang w:val="en-GB"/>
        </w:rPr>
        <w:t xml:space="preserve"> in place</w:t>
      </w:r>
      <w:r w:rsidRPr="004261CD">
        <w:rPr>
          <w:rFonts w:ascii="Arial" w:hAnsi="Arial" w:cs="Arial"/>
          <w:sz w:val="22"/>
          <w:szCs w:val="22"/>
          <w:lang w:val="en-GB"/>
        </w:rPr>
        <w:t xml:space="preserve"> the necessary arrangements to ensure that treasury management</w:t>
      </w:r>
      <w:r w:rsidR="00F818E3" w:rsidRPr="004261CD">
        <w:rPr>
          <w:rFonts w:ascii="Arial" w:hAnsi="Arial" w:cs="Arial"/>
          <w:sz w:val="22"/>
          <w:szCs w:val="22"/>
          <w:lang w:val="en-GB"/>
        </w:rPr>
        <w:t xml:space="preserve"> activities</w:t>
      </w:r>
      <w:r w:rsidRPr="004261CD">
        <w:rPr>
          <w:rFonts w:ascii="Arial" w:hAnsi="Arial" w:cs="Arial"/>
          <w:sz w:val="22"/>
          <w:szCs w:val="22"/>
          <w:lang w:val="en-GB"/>
        </w:rPr>
        <w:t xml:space="preserve"> </w:t>
      </w:r>
      <w:r w:rsidR="00F818E3" w:rsidRPr="004261CD">
        <w:rPr>
          <w:rFonts w:ascii="Arial" w:hAnsi="Arial" w:cs="Arial"/>
          <w:sz w:val="22"/>
          <w:szCs w:val="22"/>
          <w:lang w:val="en-GB"/>
        </w:rPr>
        <w:t>are undertaken by authoris</w:t>
      </w:r>
      <w:r w:rsidRPr="004261CD">
        <w:rPr>
          <w:rFonts w:ascii="Arial" w:hAnsi="Arial" w:cs="Arial"/>
          <w:sz w:val="22"/>
          <w:szCs w:val="22"/>
          <w:lang w:val="en-GB"/>
        </w:rPr>
        <w:t xml:space="preserve">ed </w:t>
      </w:r>
      <w:r w:rsidR="00971958" w:rsidRPr="004261CD">
        <w:rPr>
          <w:rFonts w:ascii="Arial" w:hAnsi="Arial" w:cs="Arial"/>
          <w:sz w:val="22"/>
          <w:szCs w:val="22"/>
          <w:lang w:val="en-GB"/>
        </w:rPr>
        <w:t xml:space="preserve">staff </w:t>
      </w:r>
      <w:r w:rsidR="002260CC" w:rsidRPr="004261CD">
        <w:rPr>
          <w:rFonts w:ascii="Arial" w:hAnsi="Arial" w:cs="Arial"/>
          <w:sz w:val="22"/>
          <w:szCs w:val="22"/>
          <w:lang w:val="en-GB"/>
        </w:rPr>
        <w:t xml:space="preserve">within the Finance </w:t>
      </w:r>
      <w:r w:rsidR="00900E7F">
        <w:rPr>
          <w:rFonts w:ascii="Arial" w:hAnsi="Arial" w:cs="Arial"/>
          <w:sz w:val="22"/>
          <w:szCs w:val="22"/>
          <w:lang w:val="en-GB"/>
        </w:rPr>
        <w:t xml:space="preserve">Department </w:t>
      </w:r>
      <w:r w:rsidRPr="004261CD">
        <w:rPr>
          <w:rFonts w:ascii="Arial" w:hAnsi="Arial" w:cs="Arial"/>
          <w:sz w:val="22"/>
          <w:szCs w:val="22"/>
          <w:lang w:val="en-GB"/>
        </w:rPr>
        <w:t>only and that proper records are kept of funds under investment.</w:t>
      </w:r>
      <w:r w:rsidR="00825220" w:rsidRPr="004261CD">
        <w:rPr>
          <w:rFonts w:ascii="Arial" w:hAnsi="Arial" w:cs="Arial"/>
          <w:sz w:val="22"/>
          <w:szCs w:val="22"/>
          <w:lang w:val="en-GB"/>
        </w:rPr>
        <w:t xml:space="preserve"> These shall include the relevant authorisation levels for the reinvestment of funds. </w:t>
      </w:r>
    </w:p>
    <w:p w14:paraId="355EA500" w14:textId="77777777" w:rsidR="006F7D64" w:rsidRDefault="006F7D64" w:rsidP="006F7D64">
      <w:pPr>
        <w:pStyle w:val="ListParagraph"/>
        <w:rPr>
          <w:rFonts w:ascii="Arial" w:hAnsi="Arial" w:cs="Arial"/>
          <w:sz w:val="22"/>
          <w:szCs w:val="22"/>
          <w:lang w:val="en-GB"/>
        </w:rPr>
      </w:pPr>
    </w:p>
    <w:p w14:paraId="291BF5BD" w14:textId="77777777" w:rsidR="006F7D64" w:rsidRPr="006F7D64" w:rsidRDefault="006F7D64" w:rsidP="006F7D64">
      <w:pPr>
        <w:ind w:left="993"/>
        <w:rPr>
          <w:rFonts w:ascii="Arial" w:hAnsi="Arial" w:cs="Arial"/>
          <w:b/>
          <w:bCs/>
          <w:sz w:val="22"/>
          <w:szCs w:val="22"/>
          <w:lang w:val="en-GB"/>
        </w:rPr>
      </w:pPr>
      <w:r w:rsidRPr="006F7D64">
        <w:rPr>
          <w:rFonts w:ascii="Arial" w:hAnsi="Arial" w:cs="Arial"/>
          <w:b/>
          <w:bCs/>
          <w:sz w:val="22"/>
          <w:szCs w:val="22"/>
          <w:lang w:val="en-GB"/>
        </w:rPr>
        <w:t>Foreign currency management</w:t>
      </w:r>
    </w:p>
    <w:p w14:paraId="30AF142D" w14:textId="77777777" w:rsidR="006F7D64" w:rsidRPr="006F7D64" w:rsidRDefault="006F7D64" w:rsidP="006F7D64">
      <w:pPr>
        <w:ind w:left="993"/>
        <w:rPr>
          <w:rFonts w:ascii="Arial" w:hAnsi="Arial" w:cs="Arial"/>
          <w:sz w:val="22"/>
          <w:szCs w:val="22"/>
          <w:lang w:val="en-GB"/>
        </w:rPr>
      </w:pPr>
    </w:p>
    <w:p w14:paraId="47A5C4E2" w14:textId="77777777" w:rsidR="006F7D64" w:rsidRPr="006F7D64" w:rsidRDefault="006F7D64" w:rsidP="006F7D64">
      <w:pPr>
        <w:numPr>
          <w:ilvl w:val="1"/>
          <w:numId w:val="1"/>
        </w:numPr>
        <w:tabs>
          <w:tab w:val="num" w:pos="993"/>
        </w:tabs>
        <w:ind w:left="993" w:hanging="633"/>
        <w:rPr>
          <w:rFonts w:ascii="Arial" w:hAnsi="Arial" w:cs="Arial"/>
          <w:sz w:val="22"/>
          <w:szCs w:val="22"/>
          <w:lang w:val="en-GB"/>
        </w:rPr>
      </w:pPr>
      <w:r w:rsidRPr="006F7D64">
        <w:rPr>
          <w:rFonts w:ascii="Arial" w:hAnsi="Arial" w:cs="Arial"/>
          <w:sz w:val="22"/>
          <w:szCs w:val="22"/>
          <w:lang w:val="en-GB"/>
        </w:rPr>
        <w:t>The university has net inflows of both Euros and US dollars and has accounts with Barclays denominated in those currencies, through which all Euros and US dollar transactions are channelled.</w:t>
      </w:r>
    </w:p>
    <w:p w14:paraId="3D7EF755" w14:textId="77777777" w:rsidR="006F7D64" w:rsidRPr="006F7D64" w:rsidRDefault="006F7D64" w:rsidP="006F7D64">
      <w:pPr>
        <w:ind w:left="993"/>
        <w:rPr>
          <w:rFonts w:ascii="Arial" w:hAnsi="Arial" w:cs="Arial"/>
          <w:sz w:val="22"/>
          <w:szCs w:val="22"/>
          <w:lang w:val="en-GB"/>
        </w:rPr>
      </w:pPr>
    </w:p>
    <w:p w14:paraId="54CDB923" w14:textId="530BA991" w:rsidR="007814F0" w:rsidRPr="006F7D64" w:rsidRDefault="006F7D64" w:rsidP="006F7D64">
      <w:pPr>
        <w:numPr>
          <w:ilvl w:val="1"/>
          <w:numId w:val="1"/>
        </w:numPr>
        <w:tabs>
          <w:tab w:val="num" w:pos="993"/>
        </w:tabs>
        <w:ind w:left="993" w:hanging="633"/>
        <w:rPr>
          <w:rFonts w:ascii="Arial" w:hAnsi="Arial" w:cs="Arial"/>
          <w:sz w:val="22"/>
          <w:szCs w:val="22"/>
          <w:lang w:val="en-GB"/>
        </w:rPr>
      </w:pPr>
      <w:r w:rsidRPr="006F7D64">
        <w:rPr>
          <w:rFonts w:ascii="Arial" w:hAnsi="Arial" w:cs="Arial"/>
          <w:sz w:val="22"/>
          <w:szCs w:val="22"/>
          <w:lang w:val="en-GB"/>
        </w:rPr>
        <w:t xml:space="preserve">Funds </w:t>
      </w:r>
      <w:bookmarkStart w:id="1" w:name="_Int_wfR278pG"/>
      <w:proofErr w:type="gramStart"/>
      <w:r w:rsidRPr="006F7D64">
        <w:rPr>
          <w:rFonts w:ascii="Arial" w:hAnsi="Arial" w:cs="Arial"/>
          <w:sz w:val="22"/>
          <w:szCs w:val="22"/>
          <w:lang w:val="en-GB"/>
        </w:rPr>
        <w:t>in excess of</w:t>
      </w:r>
      <w:bookmarkEnd w:id="1"/>
      <w:proofErr w:type="gramEnd"/>
      <w:r w:rsidRPr="006F7D64">
        <w:rPr>
          <w:rFonts w:ascii="Arial" w:hAnsi="Arial" w:cs="Arial"/>
          <w:sz w:val="22"/>
          <w:szCs w:val="22"/>
          <w:lang w:val="en-GB"/>
        </w:rPr>
        <w:t xml:space="preserve"> those required for working capital are converted to sterling at spot rates when sufficient balances have accumulated</w:t>
      </w:r>
      <w:r w:rsidR="3F615A6B" w:rsidRPr="44D30214">
        <w:rPr>
          <w:rFonts w:ascii="Arial" w:hAnsi="Arial" w:cs="Arial"/>
          <w:sz w:val="22"/>
          <w:szCs w:val="22"/>
          <w:lang w:val="en-GB"/>
        </w:rPr>
        <w:t>,</w:t>
      </w:r>
      <w:r w:rsidRPr="006F7D64">
        <w:rPr>
          <w:rFonts w:ascii="Arial" w:hAnsi="Arial" w:cs="Arial"/>
          <w:sz w:val="22"/>
          <w:szCs w:val="22"/>
          <w:lang w:val="en-GB"/>
        </w:rPr>
        <w:t xml:space="preserve"> and exchange rates are favourable. The business case for use of forward exchange contracts will be reviewed and, if recommended, brought to the Committee for approval, should any currency transaction with a value of over £1m be proposed.</w:t>
      </w:r>
      <w:r w:rsidR="00912D08" w:rsidRPr="006F7D64">
        <w:rPr>
          <w:rFonts w:ascii="Arial" w:hAnsi="Arial" w:cs="Arial"/>
          <w:sz w:val="22"/>
          <w:szCs w:val="22"/>
          <w:lang w:val="en-GB"/>
        </w:rPr>
        <w:t xml:space="preserve"> </w:t>
      </w:r>
    </w:p>
    <w:p w14:paraId="73444AA1" w14:textId="77777777" w:rsidR="00915DAC" w:rsidRPr="004261CD" w:rsidRDefault="00042878" w:rsidP="00042878">
      <w:pPr>
        <w:tabs>
          <w:tab w:val="left" w:pos="1440"/>
        </w:tabs>
        <w:rPr>
          <w:rFonts w:ascii="Arial" w:hAnsi="Arial" w:cs="Arial"/>
          <w:sz w:val="22"/>
          <w:szCs w:val="22"/>
          <w:lang w:val="en-GB"/>
        </w:rPr>
      </w:pPr>
      <w:r w:rsidRPr="004261CD">
        <w:rPr>
          <w:rFonts w:ascii="Arial" w:hAnsi="Arial" w:cs="Arial"/>
          <w:sz w:val="22"/>
          <w:szCs w:val="22"/>
          <w:lang w:val="en-GB"/>
        </w:rPr>
        <w:tab/>
      </w:r>
    </w:p>
    <w:p w14:paraId="1DEFF74E" w14:textId="1FBDDBBB" w:rsidR="0038505A" w:rsidRPr="004261CD" w:rsidRDefault="009E3285" w:rsidP="00BE6BCA">
      <w:pPr>
        <w:numPr>
          <w:ilvl w:val="0"/>
          <w:numId w:val="1"/>
        </w:numPr>
        <w:tabs>
          <w:tab w:val="left" w:pos="993"/>
        </w:tabs>
        <w:ind w:firstLine="0"/>
        <w:rPr>
          <w:rFonts w:ascii="Arial" w:hAnsi="Arial" w:cs="Arial"/>
          <w:b/>
          <w:sz w:val="22"/>
          <w:szCs w:val="22"/>
          <w:lang w:val="en-GB"/>
        </w:rPr>
      </w:pPr>
      <w:r w:rsidRPr="004261CD">
        <w:rPr>
          <w:rFonts w:ascii="Arial" w:hAnsi="Arial" w:cs="Arial"/>
          <w:b/>
          <w:sz w:val="22"/>
          <w:szCs w:val="22"/>
          <w:lang w:val="en-GB"/>
        </w:rPr>
        <w:t xml:space="preserve">Arrangement For Investment </w:t>
      </w:r>
      <w:r w:rsidR="006203A8" w:rsidRPr="004261CD">
        <w:rPr>
          <w:rFonts w:ascii="Arial" w:hAnsi="Arial" w:cs="Arial"/>
          <w:b/>
          <w:sz w:val="22"/>
          <w:szCs w:val="22"/>
          <w:lang w:val="en-GB"/>
        </w:rPr>
        <w:t>of</w:t>
      </w:r>
      <w:r w:rsidRPr="004261CD">
        <w:rPr>
          <w:rFonts w:ascii="Arial" w:hAnsi="Arial" w:cs="Arial"/>
          <w:b/>
          <w:sz w:val="22"/>
          <w:szCs w:val="22"/>
          <w:lang w:val="en-GB"/>
        </w:rPr>
        <w:t xml:space="preserve"> Funds </w:t>
      </w:r>
    </w:p>
    <w:p w14:paraId="19EF25B5" w14:textId="77777777" w:rsidR="007814F0" w:rsidRPr="004261CD" w:rsidRDefault="007814F0" w:rsidP="001D086D">
      <w:pPr>
        <w:rPr>
          <w:rFonts w:ascii="Arial" w:hAnsi="Arial" w:cs="Arial"/>
          <w:i/>
          <w:sz w:val="22"/>
          <w:szCs w:val="22"/>
          <w:lang w:val="en-GB"/>
        </w:rPr>
      </w:pPr>
    </w:p>
    <w:p w14:paraId="06865757" w14:textId="07D20BA1" w:rsidR="00D735E0" w:rsidRPr="004261CD" w:rsidRDefault="00BE6BCA" w:rsidP="00BE6BCA">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F</w:t>
      </w:r>
      <w:r w:rsidR="00563E77" w:rsidRPr="004261CD">
        <w:rPr>
          <w:rFonts w:ascii="Arial" w:hAnsi="Arial" w:cs="Arial"/>
          <w:sz w:val="22"/>
          <w:szCs w:val="22"/>
          <w:lang w:val="en-GB"/>
        </w:rPr>
        <w:t>unds may be invested</w:t>
      </w:r>
      <w:r w:rsidRPr="004261CD">
        <w:rPr>
          <w:rFonts w:ascii="Arial" w:hAnsi="Arial" w:cs="Arial"/>
          <w:sz w:val="22"/>
          <w:szCs w:val="22"/>
          <w:lang w:val="en-GB"/>
        </w:rPr>
        <w:t xml:space="preserve"> </w:t>
      </w:r>
      <w:r w:rsidR="00900E7F" w:rsidRPr="004261CD">
        <w:rPr>
          <w:rFonts w:ascii="Arial" w:hAnsi="Arial" w:cs="Arial"/>
          <w:sz w:val="22"/>
          <w:szCs w:val="22"/>
          <w:lang w:val="en-GB"/>
        </w:rPr>
        <w:t>by: -</w:t>
      </w:r>
    </w:p>
    <w:p w14:paraId="6AD15C20" w14:textId="616CC6FD" w:rsidR="006F0F61" w:rsidRPr="004261CD" w:rsidRDefault="006F0F61">
      <w:pPr>
        <w:pStyle w:val="ListParagraph"/>
        <w:numPr>
          <w:ilvl w:val="0"/>
          <w:numId w:val="7"/>
        </w:numPr>
        <w:rPr>
          <w:rFonts w:ascii="Arial" w:hAnsi="Arial" w:cs="Arial"/>
          <w:sz w:val="22"/>
          <w:szCs w:val="22"/>
          <w:lang w:val="en-GB"/>
        </w:rPr>
      </w:pPr>
      <w:r w:rsidRPr="004261CD">
        <w:rPr>
          <w:rFonts w:ascii="Arial" w:hAnsi="Arial" w:cs="Arial"/>
          <w:sz w:val="22"/>
          <w:szCs w:val="22"/>
          <w:lang w:val="en-GB"/>
        </w:rPr>
        <w:t xml:space="preserve">the Finance </w:t>
      </w:r>
      <w:r w:rsidR="00617AD4" w:rsidRPr="004261CD">
        <w:rPr>
          <w:rFonts w:ascii="Arial" w:hAnsi="Arial" w:cs="Arial"/>
          <w:sz w:val="22"/>
          <w:szCs w:val="22"/>
          <w:lang w:val="en-GB"/>
        </w:rPr>
        <w:t>Team’s</w:t>
      </w:r>
      <w:r w:rsidRPr="004261CD">
        <w:rPr>
          <w:rFonts w:ascii="Arial" w:hAnsi="Arial" w:cs="Arial"/>
          <w:sz w:val="22"/>
          <w:szCs w:val="22"/>
          <w:lang w:val="en-GB"/>
        </w:rPr>
        <w:t xml:space="preserve"> treasury management function in approved bank and building society deposits. </w:t>
      </w:r>
    </w:p>
    <w:p w14:paraId="7CC82850" w14:textId="49E58DD3" w:rsidR="006F0F61" w:rsidRPr="004261CD" w:rsidRDefault="00BE6BCA">
      <w:pPr>
        <w:pStyle w:val="ListParagraph"/>
        <w:numPr>
          <w:ilvl w:val="0"/>
          <w:numId w:val="7"/>
        </w:numPr>
        <w:rPr>
          <w:rFonts w:ascii="Arial" w:hAnsi="Arial" w:cs="Arial"/>
          <w:sz w:val="22"/>
          <w:szCs w:val="22"/>
          <w:lang w:val="en-GB"/>
        </w:rPr>
      </w:pPr>
      <w:r w:rsidRPr="004261CD">
        <w:rPr>
          <w:rFonts w:ascii="Arial" w:hAnsi="Arial" w:cs="Arial"/>
          <w:sz w:val="22"/>
          <w:szCs w:val="22"/>
          <w:lang w:val="en-GB"/>
        </w:rPr>
        <w:t xml:space="preserve">an </w:t>
      </w:r>
      <w:r w:rsidR="006F0F61" w:rsidRPr="004261CD">
        <w:rPr>
          <w:rFonts w:ascii="Arial" w:hAnsi="Arial" w:cs="Arial"/>
          <w:sz w:val="22"/>
          <w:szCs w:val="22"/>
          <w:lang w:val="en-GB"/>
        </w:rPr>
        <w:t>a</w:t>
      </w:r>
      <w:r w:rsidR="00F818E3" w:rsidRPr="004261CD">
        <w:rPr>
          <w:rFonts w:ascii="Arial" w:hAnsi="Arial" w:cs="Arial"/>
          <w:sz w:val="22"/>
          <w:szCs w:val="22"/>
          <w:lang w:val="en-GB"/>
        </w:rPr>
        <w:t xml:space="preserve">ppointed Cash Manager. </w:t>
      </w:r>
      <w:r w:rsidR="002260CC" w:rsidRPr="004261CD">
        <w:rPr>
          <w:rFonts w:ascii="Arial" w:hAnsi="Arial" w:cs="Arial"/>
          <w:sz w:val="22"/>
          <w:szCs w:val="22"/>
          <w:lang w:val="en-GB"/>
        </w:rPr>
        <w:t>F</w:t>
      </w:r>
      <w:r w:rsidR="00F818E3" w:rsidRPr="004261CD">
        <w:rPr>
          <w:rFonts w:ascii="Arial" w:hAnsi="Arial" w:cs="Arial"/>
          <w:sz w:val="22"/>
          <w:szCs w:val="22"/>
          <w:lang w:val="en-GB"/>
        </w:rPr>
        <w:t>unds</w:t>
      </w:r>
      <w:r w:rsidR="00394C1B" w:rsidRPr="004261CD">
        <w:rPr>
          <w:rFonts w:ascii="Arial" w:hAnsi="Arial" w:cs="Arial"/>
          <w:sz w:val="22"/>
          <w:szCs w:val="22"/>
          <w:lang w:val="en-GB"/>
        </w:rPr>
        <w:t xml:space="preserve"> may be placed with an approved cash manager </w:t>
      </w:r>
      <w:r w:rsidR="001E3C59" w:rsidRPr="004261CD">
        <w:rPr>
          <w:rFonts w:ascii="Arial" w:hAnsi="Arial" w:cs="Arial"/>
          <w:sz w:val="22"/>
          <w:szCs w:val="22"/>
          <w:lang w:val="en-GB"/>
        </w:rPr>
        <w:t xml:space="preserve">or broker </w:t>
      </w:r>
      <w:r w:rsidR="00394C1B" w:rsidRPr="004261CD">
        <w:rPr>
          <w:rFonts w:ascii="Arial" w:hAnsi="Arial" w:cs="Arial"/>
          <w:sz w:val="22"/>
          <w:szCs w:val="22"/>
          <w:lang w:val="en-GB"/>
        </w:rPr>
        <w:t>who</w:t>
      </w:r>
      <w:r w:rsidR="00D72066" w:rsidRPr="004261CD">
        <w:rPr>
          <w:rFonts w:ascii="Arial" w:hAnsi="Arial" w:cs="Arial"/>
          <w:sz w:val="22"/>
          <w:szCs w:val="22"/>
          <w:lang w:val="en-GB"/>
        </w:rPr>
        <w:t xml:space="preserve"> </w:t>
      </w:r>
      <w:r w:rsidR="00AD3A3A" w:rsidRPr="004261CD">
        <w:rPr>
          <w:rFonts w:ascii="Arial" w:hAnsi="Arial" w:cs="Arial"/>
          <w:sz w:val="22"/>
          <w:szCs w:val="22"/>
          <w:lang w:val="en-GB"/>
        </w:rPr>
        <w:t>makes</w:t>
      </w:r>
      <w:r w:rsidR="00D72066" w:rsidRPr="004261CD">
        <w:rPr>
          <w:rFonts w:ascii="Arial" w:hAnsi="Arial" w:cs="Arial"/>
          <w:sz w:val="22"/>
          <w:szCs w:val="22"/>
          <w:lang w:val="en-GB"/>
        </w:rPr>
        <w:t xml:space="preserve"> day to day decision</w:t>
      </w:r>
      <w:r w:rsidR="00AD3A3A" w:rsidRPr="004261CD">
        <w:rPr>
          <w:rFonts w:ascii="Arial" w:hAnsi="Arial" w:cs="Arial"/>
          <w:sz w:val="22"/>
          <w:szCs w:val="22"/>
          <w:lang w:val="en-GB"/>
        </w:rPr>
        <w:t>s</w:t>
      </w:r>
      <w:r w:rsidR="00D72066" w:rsidRPr="004261CD">
        <w:rPr>
          <w:rFonts w:ascii="Arial" w:hAnsi="Arial" w:cs="Arial"/>
          <w:sz w:val="22"/>
          <w:szCs w:val="22"/>
          <w:lang w:val="en-GB"/>
        </w:rPr>
        <w:t xml:space="preserve"> on the placement of funds. Funds may only be placed with approved </w:t>
      </w:r>
      <w:r w:rsidRPr="004261CD">
        <w:rPr>
          <w:rFonts w:ascii="Arial" w:hAnsi="Arial" w:cs="Arial"/>
          <w:sz w:val="22"/>
          <w:szCs w:val="22"/>
          <w:lang w:val="en-GB"/>
        </w:rPr>
        <w:t>institutions on</w:t>
      </w:r>
      <w:r w:rsidR="002260CC" w:rsidRPr="004261CD">
        <w:rPr>
          <w:rFonts w:ascii="Arial" w:hAnsi="Arial" w:cs="Arial"/>
          <w:sz w:val="22"/>
          <w:szCs w:val="22"/>
          <w:lang w:val="en-GB"/>
        </w:rPr>
        <w:t xml:space="preserve"> the</w:t>
      </w:r>
      <w:r w:rsidR="00D72066" w:rsidRPr="004261CD">
        <w:rPr>
          <w:rFonts w:ascii="Arial" w:hAnsi="Arial" w:cs="Arial"/>
          <w:sz w:val="22"/>
          <w:szCs w:val="22"/>
          <w:lang w:val="en-GB"/>
        </w:rPr>
        <w:t xml:space="preserve"> </w:t>
      </w:r>
      <w:r w:rsidRPr="004261CD">
        <w:rPr>
          <w:rFonts w:ascii="Arial" w:hAnsi="Arial" w:cs="Arial"/>
          <w:sz w:val="22"/>
          <w:szCs w:val="22"/>
          <w:lang w:val="en-GB"/>
        </w:rPr>
        <w:t>approved</w:t>
      </w:r>
      <w:r w:rsidR="00D72066" w:rsidRPr="004261CD">
        <w:rPr>
          <w:rFonts w:ascii="Arial" w:hAnsi="Arial" w:cs="Arial"/>
          <w:sz w:val="22"/>
          <w:szCs w:val="22"/>
          <w:lang w:val="en-GB"/>
        </w:rPr>
        <w:t xml:space="preserve"> counterpart</w:t>
      </w:r>
      <w:r w:rsidR="002260CC" w:rsidRPr="004261CD">
        <w:rPr>
          <w:rFonts w:ascii="Arial" w:hAnsi="Arial" w:cs="Arial"/>
          <w:sz w:val="22"/>
          <w:szCs w:val="22"/>
          <w:lang w:val="en-GB"/>
        </w:rPr>
        <w:t>y</w:t>
      </w:r>
      <w:r w:rsidR="00D72066" w:rsidRPr="004261CD">
        <w:rPr>
          <w:rFonts w:ascii="Arial" w:hAnsi="Arial" w:cs="Arial"/>
          <w:sz w:val="22"/>
          <w:szCs w:val="22"/>
          <w:lang w:val="en-GB"/>
        </w:rPr>
        <w:t xml:space="preserve"> list</w:t>
      </w:r>
      <w:r w:rsidR="00025ACB" w:rsidRPr="103AC535">
        <w:rPr>
          <w:rFonts w:ascii="Arial" w:hAnsi="Arial" w:cs="Arial"/>
          <w:sz w:val="22"/>
          <w:szCs w:val="22"/>
          <w:lang w:val="en-GB"/>
        </w:rPr>
        <w:t>.</w:t>
      </w:r>
      <w:r w:rsidR="00025ACB" w:rsidRPr="004261CD">
        <w:rPr>
          <w:rFonts w:ascii="Arial" w:hAnsi="Arial" w:cs="Arial"/>
          <w:sz w:val="22"/>
          <w:szCs w:val="22"/>
          <w:lang w:val="en-GB"/>
        </w:rPr>
        <w:t xml:space="preserve"> </w:t>
      </w:r>
    </w:p>
    <w:p w14:paraId="28C78031" w14:textId="45FE99DA" w:rsidR="00AC2536" w:rsidRPr="004261CD" w:rsidRDefault="00AC2536">
      <w:pPr>
        <w:pStyle w:val="ListParagraph"/>
        <w:numPr>
          <w:ilvl w:val="0"/>
          <w:numId w:val="7"/>
        </w:numPr>
        <w:rPr>
          <w:rFonts w:ascii="Arial" w:hAnsi="Arial" w:cs="Arial"/>
          <w:sz w:val="22"/>
          <w:szCs w:val="22"/>
          <w:lang w:val="en-GB"/>
        </w:rPr>
      </w:pPr>
      <w:r w:rsidRPr="004261CD">
        <w:rPr>
          <w:rFonts w:ascii="Arial" w:hAnsi="Arial" w:cs="Arial"/>
          <w:sz w:val="22"/>
          <w:szCs w:val="22"/>
          <w:lang w:val="en-GB"/>
        </w:rPr>
        <w:t xml:space="preserve">an appointed Investment Manager who also makes day to day decisions on the placement of funds in a diversified portfolio of investments. </w:t>
      </w:r>
      <w:r w:rsidR="001E3C59" w:rsidRPr="004261CD">
        <w:rPr>
          <w:rFonts w:ascii="Arial" w:hAnsi="Arial" w:cs="Arial"/>
          <w:sz w:val="22"/>
          <w:szCs w:val="22"/>
          <w:lang w:val="en-GB"/>
        </w:rPr>
        <w:t xml:space="preserve">Funds may only be invested in </w:t>
      </w:r>
      <w:r w:rsidR="00D21F8C" w:rsidRPr="004261CD">
        <w:rPr>
          <w:rFonts w:ascii="Arial" w:hAnsi="Arial" w:cs="Arial"/>
          <w:sz w:val="22"/>
          <w:szCs w:val="22"/>
          <w:lang w:val="en-GB"/>
        </w:rPr>
        <w:t>permissible</w:t>
      </w:r>
      <w:r w:rsidR="001E3C59" w:rsidRPr="004261CD">
        <w:rPr>
          <w:rFonts w:ascii="Arial" w:hAnsi="Arial" w:cs="Arial"/>
          <w:sz w:val="22"/>
          <w:szCs w:val="22"/>
          <w:lang w:val="en-GB"/>
        </w:rPr>
        <w:t xml:space="preserve"> asset classes, as outlined in section 5</w:t>
      </w:r>
      <w:r w:rsidR="00025ACB" w:rsidRPr="6F6A2ED8">
        <w:rPr>
          <w:rFonts w:ascii="Arial" w:hAnsi="Arial" w:cs="Arial"/>
          <w:sz w:val="22"/>
          <w:szCs w:val="22"/>
          <w:lang w:val="en-GB"/>
        </w:rPr>
        <w:t>.</w:t>
      </w:r>
      <w:r w:rsidR="00025ACB" w:rsidRPr="004261CD">
        <w:rPr>
          <w:rFonts w:ascii="Arial" w:hAnsi="Arial" w:cs="Arial"/>
          <w:sz w:val="22"/>
          <w:szCs w:val="22"/>
          <w:lang w:val="en-GB"/>
        </w:rPr>
        <w:t xml:space="preserve"> </w:t>
      </w:r>
    </w:p>
    <w:p w14:paraId="25BF8C76" w14:textId="77777777" w:rsidR="00682414" w:rsidRPr="004261CD" w:rsidRDefault="00682414" w:rsidP="00682414">
      <w:pPr>
        <w:ind w:left="792"/>
        <w:rPr>
          <w:rFonts w:ascii="Arial" w:hAnsi="Arial" w:cs="Arial"/>
          <w:i/>
          <w:sz w:val="22"/>
          <w:szCs w:val="22"/>
          <w:lang w:val="en-GB"/>
        </w:rPr>
      </w:pPr>
    </w:p>
    <w:p w14:paraId="407C4709" w14:textId="118E548B" w:rsidR="00322363" w:rsidRPr="004261CD" w:rsidRDefault="00B1415E" w:rsidP="00BE6BCA">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Where </w:t>
      </w:r>
      <w:r w:rsidR="00322363" w:rsidRPr="004261CD">
        <w:rPr>
          <w:rFonts w:ascii="Arial" w:hAnsi="Arial" w:cs="Arial"/>
          <w:sz w:val="22"/>
          <w:szCs w:val="22"/>
          <w:lang w:val="en-GB"/>
        </w:rPr>
        <w:t>the credit</w:t>
      </w:r>
      <w:r w:rsidRPr="004261CD">
        <w:rPr>
          <w:rFonts w:ascii="Arial" w:hAnsi="Arial" w:cs="Arial"/>
          <w:sz w:val="22"/>
          <w:szCs w:val="22"/>
          <w:lang w:val="en-GB"/>
        </w:rPr>
        <w:t xml:space="preserve"> rating of a bank/financial institution falls below the minimum</w:t>
      </w:r>
      <w:r w:rsidR="00333571" w:rsidRPr="004261CD">
        <w:rPr>
          <w:rFonts w:ascii="Arial" w:hAnsi="Arial" w:cs="Arial"/>
          <w:sz w:val="22"/>
          <w:szCs w:val="22"/>
          <w:lang w:val="en-GB"/>
        </w:rPr>
        <w:t xml:space="preserve"> </w:t>
      </w:r>
      <w:r w:rsidR="004C46E7" w:rsidRPr="004261CD">
        <w:rPr>
          <w:rFonts w:ascii="Arial" w:hAnsi="Arial" w:cs="Arial"/>
          <w:sz w:val="22"/>
          <w:szCs w:val="22"/>
          <w:lang w:val="en-GB"/>
        </w:rPr>
        <w:t>in 3</w:t>
      </w:r>
      <w:r w:rsidR="00322363" w:rsidRPr="004261CD">
        <w:rPr>
          <w:rFonts w:ascii="Arial" w:hAnsi="Arial" w:cs="Arial"/>
          <w:sz w:val="22"/>
          <w:szCs w:val="22"/>
          <w:lang w:val="en-GB"/>
        </w:rPr>
        <w:t xml:space="preserve">.2 above, the </w:t>
      </w:r>
      <w:r w:rsidR="00252C0A">
        <w:rPr>
          <w:rFonts w:ascii="Arial" w:hAnsi="Arial" w:cs="Arial"/>
          <w:sz w:val="22"/>
          <w:szCs w:val="22"/>
          <w:lang w:val="en-GB"/>
        </w:rPr>
        <w:t xml:space="preserve">Chief Operating Officer </w:t>
      </w:r>
      <w:r w:rsidR="00322363" w:rsidRPr="004261CD">
        <w:rPr>
          <w:rFonts w:ascii="Arial" w:hAnsi="Arial" w:cs="Arial"/>
          <w:sz w:val="22"/>
          <w:szCs w:val="22"/>
          <w:lang w:val="en-GB"/>
        </w:rPr>
        <w:t xml:space="preserve">will determine whether the deposit(s) with the institution(s) in question are held to maturity. </w:t>
      </w:r>
    </w:p>
    <w:p w14:paraId="7ABDF8A3" w14:textId="77777777" w:rsidR="008C43C5" w:rsidRPr="004261CD" w:rsidRDefault="008C43C5" w:rsidP="008C43C5">
      <w:pPr>
        <w:rPr>
          <w:rFonts w:ascii="Arial" w:hAnsi="Arial" w:cs="Arial"/>
          <w:b/>
          <w:sz w:val="22"/>
          <w:szCs w:val="22"/>
          <w:lang w:val="en-GB"/>
        </w:rPr>
      </w:pPr>
    </w:p>
    <w:p w14:paraId="64F87348" w14:textId="10B3B4E0" w:rsidR="008C43C5" w:rsidRPr="004261CD" w:rsidRDefault="009E3285" w:rsidP="00AB7ED0">
      <w:pPr>
        <w:numPr>
          <w:ilvl w:val="0"/>
          <w:numId w:val="1"/>
        </w:numPr>
        <w:tabs>
          <w:tab w:val="left" w:pos="993"/>
        </w:tabs>
        <w:ind w:firstLine="0"/>
        <w:rPr>
          <w:rFonts w:ascii="Arial" w:hAnsi="Arial" w:cs="Arial"/>
          <w:b/>
          <w:sz w:val="22"/>
          <w:szCs w:val="22"/>
          <w:lang w:val="en-GB"/>
        </w:rPr>
      </w:pPr>
      <w:r w:rsidRPr="004261CD">
        <w:rPr>
          <w:rFonts w:ascii="Arial" w:hAnsi="Arial" w:cs="Arial"/>
          <w:b/>
          <w:sz w:val="22"/>
          <w:szCs w:val="22"/>
          <w:lang w:val="en-GB"/>
        </w:rPr>
        <w:t>Asset Allocation</w:t>
      </w:r>
    </w:p>
    <w:p w14:paraId="2A6B8AEB" w14:textId="77777777" w:rsidR="007814F0" w:rsidRPr="004261CD" w:rsidRDefault="007814F0">
      <w:pPr>
        <w:rPr>
          <w:rFonts w:ascii="Arial" w:hAnsi="Arial" w:cs="Arial"/>
          <w:b/>
          <w:sz w:val="22"/>
          <w:szCs w:val="22"/>
          <w:lang w:val="en-GB"/>
        </w:rPr>
      </w:pPr>
    </w:p>
    <w:p w14:paraId="7ABD1336" w14:textId="0B58D76D" w:rsidR="008C43C5" w:rsidRPr="004261CD" w:rsidRDefault="008C43C5" w:rsidP="00AB7ED0">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Funds available for investment may be invested </w:t>
      </w:r>
      <w:r w:rsidR="00900E7F" w:rsidRPr="004261CD">
        <w:rPr>
          <w:rFonts w:ascii="Arial" w:hAnsi="Arial" w:cs="Arial"/>
          <w:sz w:val="22"/>
          <w:szCs w:val="22"/>
          <w:lang w:val="en-GB"/>
        </w:rPr>
        <w:t>in: -</w:t>
      </w:r>
    </w:p>
    <w:p w14:paraId="42970783" w14:textId="79E5BCD3" w:rsidR="008C43C5" w:rsidRPr="004261CD" w:rsidRDefault="008C43C5">
      <w:pPr>
        <w:pStyle w:val="ListParagraph"/>
        <w:numPr>
          <w:ilvl w:val="0"/>
          <w:numId w:val="3"/>
        </w:numPr>
        <w:tabs>
          <w:tab w:val="left" w:pos="1080"/>
        </w:tabs>
        <w:rPr>
          <w:rFonts w:ascii="Arial" w:hAnsi="Arial" w:cs="Arial"/>
          <w:sz w:val="22"/>
          <w:szCs w:val="22"/>
          <w:lang w:val="en-GB"/>
        </w:rPr>
      </w:pPr>
      <w:r w:rsidRPr="004261CD">
        <w:rPr>
          <w:rFonts w:ascii="Arial" w:hAnsi="Arial" w:cs="Arial"/>
          <w:sz w:val="22"/>
          <w:szCs w:val="22"/>
          <w:lang w:val="en-GB"/>
        </w:rPr>
        <w:t>C</w:t>
      </w:r>
      <w:r w:rsidR="007D5925" w:rsidRPr="004261CD">
        <w:rPr>
          <w:rFonts w:ascii="Arial" w:hAnsi="Arial" w:cs="Arial"/>
          <w:sz w:val="22"/>
          <w:szCs w:val="22"/>
          <w:lang w:val="en-GB"/>
        </w:rPr>
        <w:t>ash or near cash instruments being deposits with</w:t>
      </w:r>
      <w:r w:rsidR="00AB7ED0" w:rsidRPr="004261CD">
        <w:rPr>
          <w:rFonts w:ascii="Arial" w:hAnsi="Arial" w:cs="Arial"/>
          <w:sz w:val="22"/>
          <w:szCs w:val="22"/>
          <w:lang w:val="en-GB"/>
        </w:rPr>
        <w:t xml:space="preserve"> </w:t>
      </w:r>
      <w:r w:rsidR="002260CC" w:rsidRPr="004261CD">
        <w:rPr>
          <w:rFonts w:ascii="Arial" w:hAnsi="Arial" w:cs="Arial"/>
          <w:sz w:val="22"/>
          <w:szCs w:val="22"/>
          <w:lang w:val="en-GB"/>
        </w:rPr>
        <w:t xml:space="preserve">approved </w:t>
      </w:r>
      <w:r w:rsidRPr="004261CD">
        <w:rPr>
          <w:rFonts w:ascii="Arial" w:hAnsi="Arial" w:cs="Arial"/>
          <w:sz w:val="22"/>
          <w:szCs w:val="22"/>
          <w:lang w:val="en-GB"/>
        </w:rPr>
        <w:t>bank</w:t>
      </w:r>
      <w:r w:rsidR="007D5925" w:rsidRPr="004261CD">
        <w:rPr>
          <w:rFonts w:ascii="Arial" w:hAnsi="Arial" w:cs="Arial"/>
          <w:sz w:val="22"/>
          <w:szCs w:val="22"/>
          <w:lang w:val="en-GB"/>
        </w:rPr>
        <w:t xml:space="preserve">s, </w:t>
      </w:r>
      <w:r w:rsidR="007B66F7" w:rsidRPr="004261CD">
        <w:rPr>
          <w:rFonts w:ascii="Arial" w:hAnsi="Arial" w:cs="Arial"/>
          <w:sz w:val="22"/>
          <w:szCs w:val="22"/>
          <w:lang w:val="en-GB"/>
        </w:rPr>
        <w:t>b</w:t>
      </w:r>
      <w:r w:rsidR="007D5925" w:rsidRPr="004261CD">
        <w:rPr>
          <w:rFonts w:ascii="Arial" w:hAnsi="Arial" w:cs="Arial"/>
          <w:sz w:val="22"/>
          <w:szCs w:val="22"/>
          <w:lang w:val="en-GB"/>
        </w:rPr>
        <w:t xml:space="preserve">uilding societies and the Post </w:t>
      </w:r>
      <w:proofErr w:type="gramStart"/>
      <w:r w:rsidR="007D5925" w:rsidRPr="004261CD">
        <w:rPr>
          <w:rFonts w:ascii="Arial" w:hAnsi="Arial" w:cs="Arial"/>
          <w:sz w:val="22"/>
          <w:szCs w:val="22"/>
          <w:lang w:val="en-GB"/>
        </w:rPr>
        <w:t>Office;</w:t>
      </w:r>
      <w:proofErr w:type="gramEnd"/>
      <w:r w:rsidR="00AB7ED0" w:rsidRPr="004261CD">
        <w:rPr>
          <w:rFonts w:ascii="Arial" w:hAnsi="Arial" w:cs="Arial"/>
          <w:sz w:val="22"/>
          <w:szCs w:val="22"/>
          <w:lang w:val="en-GB"/>
        </w:rPr>
        <w:t xml:space="preserve"> treasury bills</w:t>
      </w:r>
    </w:p>
    <w:p w14:paraId="7CD6A3B6" w14:textId="0ABFE443" w:rsidR="001E3C59" w:rsidRPr="004261CD" w:rsidRDefault="00AB7ED0">
      <w:pPr>
        <w:pStyle w:val="ListParagraph"/>
        <w:numPr>
          <w:ilvl w:val="0"/>
          <w:numId w:val="3"/>
        </w:numPr>
        <w:tabs>
          <w:tab w:val="left" w:pos="1080"/>
        </w:tabs>
        <w:rPr>
          <w:rFonts w:ascii="Arial" w:hAnsi="Arial" w:cs="Arial"/>
          <w:sz w:val="22"/>
          <w:szCs w:val="22"/>
          <w:lang w:val="en-GB"/>
        </w:rPr>
      </w:pPr>
      <w:r w:rsidRPr="004261CD">
        <w:rPr>
          <w:rFonts w:ascii="Arial" w:hAnsi="Arial" w:cs="Arial"/>
          <w:sz w:val="22"/>
          <w:szCs w:val="22"/>
          <w:lang w:val="en-GB"/>
        </w:rPr>
        <w:t xml:space="preserve">UK government </w:t>
      </w:r>
      <w:r w:rsidR="001E3C59" w:rsidRPr="004261CD">
        <w:rPr>
          <w:rFonts w:ascii="Arial" w:hAnsi="Arial" w:cs="Arial"/>
          <w:sz w:val="22"/>
          <w:szCs w:val="22"/>
          <w:lang w:val="en-GB"/>
        </w:rPr>
        <w:t xml:space="preserve">securities, </w:t>
      </w:r>
      <w:r w:rsidR="00F059CF" w:rsidRPr="004261CD">
        <w:rPr>
          <w:rFonts w:ascii="Arial" w:hAnsi="Arial" w:cs="Arial"/>
          <w:sz w:val="22"/>
          <w:szCs w:val="22"/>
          <w:lang w:val="en-GB"/>
        </w:rPr>
        <w:t xml:space="preserve">high credit quality </w:t>
      </w:r>
      <w:r w:rsidR="001E3C59" w:rsidRPr="004261CD">
        <w:rPr>
          <w:rFonts w:ascii="Arial" w:hAnsi="Arial" w:cs="Arial"/>
          <w:sz w:val="22"/>
          <w:szCs w:val="22"/>
          <w:lang w:val="en-GB"/>
        </w:rPr>
        <w:t xml:space="preserve">international sovereign </w:t>
      </w:r>
      <w:r w:rsidRPr="004261CD">
        <w:rPr>
          <w:rFonts w:ascii="Arial" w:hAnsi="Arial" w:cs="Arial"/>
          <w:sz w:val="22"/>
          <w:szCs w:val="22"/>
          <w:lang w:val="en-GB"/>
        </w:rPr>
        <w:t>securities</w:t>
      </w:r>
      <w:r w:rsidR="001E3C59" w:rsidRPr="004261CD">
        <w:rPr>
          <w:rFonts w:ascii="Arial" w:hAnsi="Arial" w:cs="Arial"/>
          <w:sz w:val="22"/>
          <w:szCs w:val="22"/>
          <w:lang w:val="en-GB"/>
        </w:rPr>
        <w:t xml:space="preserve"> &amp; supranational bonds</w:t>
      </w:r>
    </w:p>
    <w:p w14:paraId="59F9C6E6" w14:textId="77777777" w:rsidR="001E3C59" w:rsidRPr="004261CD" w:rsidRDefault="00AB7ED0">
      <w:pPr>
        <w:pStyle w:val="ListParagraph"/>
        <w:numPr>
          <w:ilvl w:val="0"/>
          <w:numId w:val="3"/>
        </w:numPr>
        <w:tabs>
          <w:tab w:val="left" w:pos="1080"/>
        </w:tabs>
        <w:rPr>
          <w:rFonts w:ascii="Arial" w:hAnsi="Arial" w:cs="Arial"/>
          <w:sz w:val="22"/>
          <w:szCs w:val="22"/>
          <w:lang w:val="en-GB"/>
        </w:rPr>
      </w:pPr>
      <w:r w:rsidRPr="004261CD">
        <w:rPr>
          <w:rFonts w:ascii="Arial" w:hAnsi="Arial" w:cs="Arial"/>
          <w:sz w:val="22"/>
          <w:szCs w:val="22"/>
          <w:lang w:val="en-GB"/>
        </w:rPr>
        <w:t>Local authority bonds</w:t>
      </w:r>
    </w:p>
    <w:p w14:paraId="6F7397DF" w14:textId="5C163BE5" w:rsidR="001E3C59" w:rsidRPr="004261CD" w:rsidRDefault="001E3C59">
      <w:pPr>
        <w:pStyle w:val="ListParagraph"/>
        <w:numPr>
          <w:ilvl w:val="0"/>
          <w:numId w:val="3"/>
        </w:numPr>
        <w:tabs>
          <w:tab w:val="left" w:pos="1080"/>
        </w:tabs>
        <w:rPr>
          <w:rFonts w:ascii="Arial" w:hAnsi="Arial" w:cs="Arial"/>
          <w:sz w:val="22"/>
          <w:szCs w:val="22"/>
          <w:lang w:val="en-GB"/>
        </w:rPr>
      </w:pPr>
      <w:r w:rsidRPr="004261CD">
        <w:rPr>
          <w:rFonts w:ascii="Arial" w:hAnsi="Arial" w:cs="Arial"/>
          <w:sz w:val="22"/>
          <w:szCs w:val="22"/>
          <w:lang w:val="en-GB"/>
        </w:rPr>
        <w:t>Money Market Funds &amp; Cash Plus Funds</w:t>
      </w:r>
    </w:p>
    <w:p w14:paraId="5C04B993" w14:textId="1D62B241" w:rsidR="001E3C59" w:rsidRPr="004261CD" w:rsidRDefault="001E3C59">
      <w:pPr>
        <w:pStyle w:val="ListParagraph"/>
        <w:numPr>
          <w:ilvl w:val="0"/>
          <w:numId w:val="3"/>
        </w:numPr>
        <w:tabs>
          <w:tab w:val="left" w:pos="1080"/>
        </w:tabs>
        <w:rPr>
          <w:rFonts w:ascii="Arial" w:hAnsi="Arial" w:cs="Arial"/>
          <w:sz w:val="22"/>
          <w:szCs w:val="22"/>
          <w:lang w:val="en-GB"/>
        </w:rPr>
      </w:pPr>
      <w:r w:rsidRPr="004261CD">
        <w:rPr>
          <w:rFonts w:ascii="Arial" w:hAnsi="Arial" w:cs="Arial"/>
          <w:sz w:val="22"/>
          <w:szCs w:val="22"/>
          <w:lang w:val="en-GB"/>
        </w:rPr>
        <w:t>Structured Notes</w:t>
      </w:r>
    </w:p>
    <w:p w14:paraId="388871CB" w14:textId="75D9122D" w:rsidR="001E3C59" w:rsidRPr="004261CD" w:rsidRDefault="001E3C59">
      <w:pPr>
        <w:pStyle w:val="ListParagraph"/>
        <w:numPr>
          <w:ilvl w:val="0"/>
          <w:numId w:val="3"/>
        </w:numPr>
        <w:tabs>
          <w:tab w:val="left" w:pos="1080"/>
        </w:tabs>
        <w:rPr>
          <w:rFonts w:ascii="Arial" w:hAnsi="Arial" w:cs="Arial"/>
          <w:sz w:val="22"/>
          <w:szCs w:val="22"/>
          <w:lang w:val="en-GB"/>
        </w:rPr>
      </w:pPr>
      <w:r w:rsidRPr="004261CD">
        <w:rPr>
          <w:rFonts w:ascii="Arial" w:hAnsi="Arial" w:cs="Arial"/>
          <w:sz w:val="22"/>
          <w:szCs w:val="22"/>
          <w:lang w:val="en-GB"/>
        </w:rPr>
        <w:t>Diversified Bond Segr</w:t>
      </w:r>
      <w:r w:rsidR="00F059CF" w:rsidRPr="004261CD">
        <w:rPr>
          <w:rFonts w:ascii="Arial" w:hAnsi="Arial" w:cs="Arial"/>
          <w:sz w:val="22"/>
          <w:szCs w:val="22"/>
          <w:lang w:val="en-GB"/>
        </w:rPr>
        <w:t>e</w:t>
      </w:r>
      <w:r w:rsidRPr="004261CD">
        <w:rPr>
          <w:rFonts w:ascii="Arial" w:hAnsi="Arial" w:cs="Arial"/>
          <w:sz w:val="22"/>
          <w:szCs w:val="22"/>
          <w:lang w:val="en-GB"/>
        </w:rPr>
        <w:t>gated Portfolios or Funds</w:t>
      </w:r>
    </w:p>
    <w:p w14:paraId="491C84F2" w14:textId="2FA77DDC" w:rsidR="003B4C2F" w:rsidRPr="004261CD" w:rsidRDefault="001E3C59">
      <w:pPr>
        <w:pStyle w:val="ListParagraph"/>
        <w:numPr>
          <w:ilvl w:val="0"/>
          <w:numId w:val="3"/>
        </w:numPr>
        <w:tabs>
          <w:tab w:val="left" w:pos="1080"/>
        </w:tabs>
        <w:rPr>
          <w:rFonts w:ascii="Arial" w:hAnsi="Arial" w:cs="Arial"/>
          <w:sz w:val="22"/>
          <w:szCs w:val="22"/>
          <w:lang w:val="en-GB"/>
        </w:rPr>
      </w:pPr>
      <w:r w:rsidRPr="004261CD">
        <w:rPr>
          <w:rFonts w:ascii="Arial" w:hAnsi="Arial" w:cs="Arial"/>
          <w:sz w:val="22"/>
          <w:szCs w:val="22"/>
          <w:lang w:val="en-GB"/>
        </w:rPr>
        <w:t>Diversified Multi-Asset Class Segregated Portfolios or Funds</w:t>
      </w:r>
    </w:p>
    <w:p w14:paraId="3FFB3DEF" w14:textId="77777777" w:rsidR="008C43C5" w:rsidRPr="004261CD" w:rsidRDefault="008C43C5" w:rsidP="008C43C5">
      <w:pPr>
        <w:rPr>
          <w:rFonts w:ascii="Arial" w:hAnsi="Arial" w:cs="Arial"/>
          <w:sz w:val="22"/>
          <w:szCs w:val="22"/>
          <w:lang w:val="en-GB"/>
        </w:rPr>
      </w:pPr>
    </w:p>
    <w:p w14:paraId="2483DF94" w14:textId="71DA9980" w:rsidR="004133E0" w:rsidRPr="004261CD" w:rsidRDefault="007B66F7" w:rsidP="00AB7ED0">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F</w:t>
      </w:r>
      <w:r w:rsidR="00704ECE" w:rsidRPr="004261CD">
        <w:rPr>
          <w:rFonts w:ascii="Arial" w:hAnsi="Arial" w:cs="Arial"/>
          <w:sz w:val="22"/>
          <w:szCs w:val="22"/>
          <w:lang w:val="en-GB"/>
        </w:rPr>
        <w:t>unds may be placed in</w:t>
      </w:r>
      <w:r w:rsidR="009D40DF" w:rsidRPr="004261CD">
        <w:rPr>
          <w:rFonts w:ascii="Arial" w:hAnsi="Arial" w:cs="Arial"/>
          <w:sz w:val="22"/>
          <w:szCs w:val="22"/>
          <w:lang w:val="en-GB"/>
        </w:rPr>
        <w:t xml:space="preserve"> cash or near cash instruments which are highly secure, transparent and offer varying degrees of liquidity, such as</w:t>
      </w:r>
      <w:r w:rsidR="00704ECE" w:rsidRPr="004261CD">
        <w:rPr>
          <w:rFonts w:ascii="Arial" w:hAnsi="Arial" w:cs="Arial"/>
          <w:sz w:val="22"/>
          <w:szCs w:val="22"/>
          <w:lang w:val="en-GB"/>
        </w:rPr>
        <w:t xml:space="preserve"> </w:t>
      </w:r>
      <w:r w:rsidR="00F059CF" w:rsidRPr="004261CD">
        <w:rPr>
          <w:rFonts w:ascii="Arial" w:hAnsi="Arial" w:cs="Arial"/>
          <w:sz w:val="22"/>
          <w:szCs w:val="22"/>
          <w:lang w:val="en-GB"/>
        </w:rPr>
        <w:t xml:space="preserve">notice accounts, </w:t>
      </w:r>
      <w:r w:rsidR="009D40DF" w:rsidRPr="004261CD">
        <w:rPr>
          <w:rFonts w:ascii="Arial" w:hAnsi="Arial" w:cs="Arial"/>
          <w:sz w:val="22"/>
          <w:szCs w:val="22"/>
          <w:lang w:val="en-GB"/>
        </w:rPr>
        <w:t xml:space="preserve">instant or </w:t>
      </w:r>
      <w:r w:rsidR="00F059CF" w:rsidRPr="004261CD">
        <w:rPr>
          <w:rFonts w:ascii="Arial" w:hAnsi="Arial" w:cs="Arial"/>
          <w:sz w:val="22"/>
          <w:szCs w:val="22"/>
          <w:lang w:val="en-GB"/>
        </w:rPr>
        <w:t xml:space="preserve">term </w:t>
      </w:r>
      <w:r w:rsidR="00704ECE" w:rsidRPr="004261CD">
        <w:rPr>
          <w:rFonts w:ascii="Arial" w:hAnsi="Arial" w:cs="Arial"/>
          <w:sz w:val="22"/>
          <w:szCs w:val="22"/>
          <w:lang w:val="en-GB"/>
        </w:rPr>
        <w:t>deposits</w:t>
      </w:r>
      <w:r w:rsidR="009D40DF" w:rsidRPr="004261CD">
        <w:rPr>
          <w:rFonts w:ascii="Arial" w:hAnsi="Arial" w:cs="Arial"/>
          <w:sz w:val="22"/>
          <w:szCs w:val="22"/>
          <w:lang w:val="en-GB"/>
        </w:rPr>
        <w:t>,</w:t>
      </w:r>
      <w:r w:rsidR="00704ECE" w:rsidRPr="004261CD">
        <w:rPr>
          <w:rFonts w:ascii="Arial" w:hAnsi="Arial" w:cs="Arial"/>
          <w:sz w:val="22"/>
          <w:szCs w:val="22"/>
          <w:lang w:val="en-GB"/>
        </w:rPr>
        <w:t xml:space="preserve"> or certificate of deposits </w:t>
      </w:r>
      <w:r w:rsidR="00E37C3D" w:rsidRPr="004261CD">
        <w:rPr>
          <w:rFonts w:ascii="Arial" w:hAnsi="Arial" w:cs="Arial"/>
          <w:sz w:val="22"/>
          <w:szCs w:val="22"/>
          <w:lang w:val="en-GB"/>
        </w:rPr>
        <w:t>issued or guaranteed by</w:t>
      </w:r>
      <w:r w:rsidR="00704ECE" w:rsidRPr="004261CD">
        <w:rPr>
          <w:rFonts w:ascii="Arial" w:hAnsi="Arial" w:cs="Arial"/>
          <w:sz w:val="22"/>
          <w:szCs w:val="22"/>
          <w:lang w:val="en-GB"/>
        </w:rPr>
        <w:t xml:space="preserve"> approved banks</w:t>
      </w:r>
      <w:r w:rsidR="00E37C3D" w:rsidRPr="004261CD">
        <w:rPr>
          <w:rFonts w:ascii="Arial" w:hAnsi="Arial" w:cs="Arial"/>
          <w:sz w:val="22"/>
          <w:szCs w:val="22"/>
          <w:lang w:val="en-GB"/>
        </w:rPr>
        <w:t>, building</w:t>
      </w:r>
      <w:r w:rsidR="00704ECE" w:rsidRPr="004261CD">
        <w:rPr>
          <w:rFonts w:ascii="Arial" w:hAnsi="Arial" w:cs="Arial"/>
          <w:sz w:val="22"/>
          <w:szCs w:val="22"/>
          <w:lang w:val="en-GB"/>
        </w:rPr>
        <w:t xml:space="preserve"> societies</w:t>
      </w:r>
      <w:r w:rsidR="00E440E5" w:rsidRPr="004261CD">
        <w:rPr>
          <w:rFonts w:ascii="Arial" w:hAnsi="Arial" w:cs="Arial"/>
          <w:sz w:val="22"/>
          <w:szCs w:val="22"/>
          <w:lang w:val="en-GB"/>
        </w:rPr>
        <w:t xml:space="preserve"> and the Post Office</w:t>
      </w:r>
      <w:r w:rsidR="007D5925" w:rsidRPr="004261CD">
        <w:rPr>
          <w:rFonts w:ascii="Arial" w:hAnsi="Arial" w:cs="Arial"/>
          <w:sz w:val="22"/>
          <w:szCs w:val="22"/>
          <w:lang w:val="en-GB"/>
        </w:rPr>
        <w:t xml:space="preserve"> with t</w:t>
      </w:r>
      <w:r w:rsidR="00704ECE" w:rsidRPr="004261CD">
        <w:rPr>
          <w:rFonts w:ascii="Arial" w:hAnsi="Arial" w:cs="Arial"/>
          <w:sz w:val="22"/>
          <w:szCs w:val="22"/>
          <w:lang w:val="en-GB"/>
        </w:rPr>
        <w:t xml:space="preserve">hese investments denominated in sterling, </w:t>
      </w:r>
      <w:r w:rsidR="005E365D" w:rsidRPr="004261CD">
        <w:rPr>
          <w:rFonts w:ascii="Arial" w:hAnsi="Arial" w:cs="Arial"/>
          <w:sz w:val="22"/>
          <w:szCs w:val="22"/>
          <w:lang w:val="en-GB"/>
        </w:rPr>
        <w:t>US$</w:t>
      </w:r>
      <w:r w:rsidR="00704ECE" w:rsidRPr="004261CD">
        <w:rPr>
          <w:rFonts w:ascii="Arial" w:hAnsi="Arial" w:cs="Arial"/>
          <w:sz w:val="22"/>
          <w:szCs w:val="22"/>
          <w:lang w:val="en-GB"/>
        </w:rPr>
        <w:t xml:space="preserve"> or euros.</w:t>
      </w:r>
      <w:r w:rsidR="009D40DF" w:rsidRPr="004261CD">
        <w:rPr>
          <w:rFonts w:ascii="Arial" w:hAnsi="Arial" w:cs="Arial"/>
          <w:sz w:val="22"/>
          <w:szCs w:val="22"/>
          <w:lang w:val="en-GB"/>
        </w:rPr>
        <w:t xml:space="preserve"> </w:t>
      </w:r>
    </w:p>
    <w:p w14:paraId="7224FDDD" w14:textId="77777777" w:rsidR="008C75FF" w:rsidRPr="004261CD" w:rsidRDefault="008C75FF" w:rsidP="008C75FF">
      <w:pPr>
        <w:ind w:left="993"/>
        <w:rPr>
          <w:rFonts w:ascii="Arial" w:hAnsi="Arial" w:cs="Arial"/>
          <w:sz w:val="22"/>
          <w:szCs w:val="22"/>
          <w:lang w:val="en-GB"/>
        </w:rPr>
      </w:pPr>
    </w:p>
    <w:p w14:paraId="102C03F8" w14:textId="5FF7A912" w:rsidR="008C75FF" w:rsidRPr="004261CD" w:rsidRDefault="00E440E5" w:rsidP="008C75FF">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F</w:t>
      </w:r>
      <w:r w:rsidR="004A6042" w:rsidRPr="004261CD">
        <w:rPr>
          <w:rFonts w:ascii="Arial" w:hAnsi="Arial" w:cs="Arial"/>
          <w:sz w:val="22"/>
          <w:szCs w:val="22"/>
          <w:lang w:val="en-GB"/>
        </w:rPr>
        <w:t>unds may be invested in</w:t>
      </w:r>
      <w:r w:rsidR="009D40DF" w:rsidRPr="004261CD">
        <w:rPr>
          <w:rFonts w:ascii="Arial" w:hAnsi="Arial" w:cs="Arial"/>
          <w:sz w:val="22"/>
          <w:szCs w:val="22"/>
          <w:lang w:val="en-GB"/>
        </w:rPr>
        <w:t xml:space="preserve"> high quality sovereign, supranati</w:t>
      </w:r>
      <w:r w:rsidR="00FE0744" w:rsidRPr="004261CD">
        <w:rPr>
          <w:rFonts w:ascii="Arial" w:hAnsi="Arial" w:cs="Arial"/>
          <w:sz w:val="22"/>
          <w:szCs w:val="22"/>
          <w:lang w:val="en-GB"/>
        </w:rPr>
        <w:t xml:space="preserve">onal, </w:t>
      </w:r>
      <w:r w:rsidR="009D40DF" w:rsidRPr="004261CD">
        <w:rPr>
          <w:rFonts w:ascii="Arial" w:hAnsi="Arial" w:cs="Arial"/>
          <w:sz w:val="22"/>
          <w:szCs w:val="22"/>
          <w:lang w:val="en-GB"/>
        </w:rPr>
        <w:t>agency</w:t>
      </w:r>
      <w:r w:rsidR="00FE0744" w:rsidRPr="004261CD">
        <w:rPr>
          <w:rFonts w:ascii="Arial" w:hAnsi="Arial" w:cs="Arial"/>
          <w:sz w:val="22"/>
          <w:szCs w:val="22"/>
          <w:lang w:val="en-GB"/>
        </w:rPr>
        <w:t xml:space="preserve"> and provincial</w:t>
      </w:r>
      <w:r w:rsidR="009D40DF" w:rsidRPr="004261CD">
        <w:rPr>
          <w:rFonts w:ascii="Arial" w:hAnsi="Arial" w:cs="Arial"/>
          <w:sz w:val="22"/>
          <w:szCs w:val="22"/>
          <w:lang w:val="en-GB"/>
        </w:rPr>
        <w:t xml:space="preserve"> bonds (SSA’s) which </w:t>
      </w:r>
      <w:r w:rsidR="00FE0744" w:rsidRPr="004261CD">
        <w:rPr>
          <w:rFonts w:ascii="Arial" w:hAnsi="Arial" w:cs="Arial"/>
          <w:sz w:val="22"/>
          <w:szCs w:val="22"/>
          <w:lang w:val="en-GB"/>
        </w:rPr>
        <w:t xml:space="preserve">offer diversification, </w:t>
      </w:r>
      <w:bookmarkStart w:id="2" w:name="_Int_pbKV2RaG"/>
      <w:r w:rsidR="00FE0744" w:rsidRPr="004261CD">
        <w:rPr>
          <w:rFonts w:ascii="Arial" w:hAnsi="Arial" w:cs="Arial"/>
          <w:sz w:val="22"/>
          <w:szCs w:val="22"/>
          <w:lang w:val="en-GB"/>
        </w:rPr>
        <w:t>liquidity</w:t>
      </w:r>
      <w:bookmarkEnd w:id="2"/>
      <w:r w:rsidR="00FE0744" w:rsidRPr="004261CD">
        <w:rPr>
          <w:rFonts w:ascii="Arial" w:hAnsi="Arial" w:cs="Arial"/>
          <w:sz w:val="22"/>
          <w:szCs w:val="22"/>
          <w:lang w:val="en-GB"/>
        </w:rPr>
        <w:t xml:space="preserve"> and yield alternatives to cash. Such assets </w:t>
      </w:r>
      <w:r w:rsidR="00D21F8C" w:rsidRPr="004261CD">
        <w:rPr>
          <w:rFonts w:ascii="Arial" w:hAnsi="Arial" w:cs="Arial"/>
          <w:sz w:val="22"/>
          <w:szCs w:val="22"/>
          <w:lang w:val="en-GB"/>
        </w:rPr>
        <w:t>include treasury</w:t>
      </w:r>
      <w:r w:rsidR="004A6042" w:rsidRPr="004261CD">
        <w:rPr>
          <w:rFonts w:ascii="Arial" w:hAnsi="Arial" w:cs="Arial"/>
          <w:sz w:val="22"/>
          <w:szCs w:val="22"/>
          <w:lang w:val="en-GB"/>
        </w:rPr>
        <w:t xml:space="preserve"> b</w:t>
      </w:r>
      <w:r w:rsidR="001F32BA" w:rsidRPr="004261CD">
        <w:rPr>
          <w:rFonts w:ascii="Arial" w:hAnsi="Arial" w:cs="Arial"/>
          <w:sz w:val="22"/>
          <w:szCs w:val="22"/>
          <w:lang w:val="en-GB"/>
        </w:rPr>
        <w:t xml:space="preserve">ills, </w:t>
      </w:r>
      <w:r w:rsidR="004A6042" w:rsidRPr="004261CD">
        <w:rPr>
          <w:rFonts w:ascii="Arial" w:hAnsi="Arial" w:cs="Arial"/>
          <w:sz w:val="22"/>
          <w:szCs w:val="22"/>
          <w:lang w:val="en-GB"/>
        </w:rPr>
        <w:t>UK government securities</w:t>
      </w:r>
      <w:r w:rsidR="00F059CF" w:rsidRPr="004261CD">
        <w:rPr>
          <w:rFonts w:ascii="Arial" w:hAnsi="Arial" w:cs="Arial"/>
          <w:sz w:val="22"/>
          <w:szCs w:val="22"/>
          <w:lang w:val="en-GB"/>
        </w:rPr>
        <w:t xml:space="preserve">, overseas developed government bonds, supranational </w:t>
      </w:r>
      <w:bookmarkStart w:id="3" w:name="_Int_8IxNtYZ9"/>
      <w:r w:rsidR="00F059CF" w:rsidRPr="004261CD">
        <w:rPr>
          <w:rFonts w:ascii="Arial" w:hAnsi="Arial" w:cs="Arial"/>
          <w:sz w:val="22"/>
          <w:szCs w:val="22"/>
          <w:lang w:val="en-GB"/>
        </w:rPr>
        <w:t>bonds</w:t>
      </w:r>
      <w:bookmarkEnd w:id="3"/>
      <w:r w:rsidR="001F32BA" w:rsidRPr="004261CD">
        <w:rPr>
          <w:rFonts w:ascii="Arial" w:hAnsi="Arial" w:cs="Arial"/>
          <w:sz w:val="22"/>
          <w:szCs w:val="22"/>
          <w:lang w:val="en-GB"/>
        </w:rPr>
        <w:t xml:space="preserve"> </w:t>
      </w:r>
      <w:r w:rsidR="001A0E7C" w:rsidRPr="004261CD">
        <w:rPr>
          <w:rFonts w:ascii="Arial" w:hAnsi="Arial" w:cs="Arial"/>
          <w:sz w:val="22"/>
          <w:szCs w:val="22"/>
          <w:lang w:val="en-GB"/>
        </w:rPr>
        <w:t xml:space="preserve">and </w:t>
      </w:r>
      <w:r w:rsidR="00971958" w:rsidRPr="004261CD">
        <w:rPr>
          <w:rFonts w:ascii="Arial" w:hAnsi="Arial" w:cs="Arial"/>
          <w:sz w:val="22"/>
          <w:szCs w:val="22"/>
          <w:lang w:val="en-GB"/>
        </w:rPr>
        <w:t>l</w:t>
      </w:r>
      <w:r w:rsidR="001A0E7C" w:rsidRPr="004261CD">
        <w:rPr>
          <w:rFonts w:ascii="Arial" w:hAnsi="Arial" w:cs="Arial"/>
          <w:sz w:val="22"/>
          <w:szCs w:val="22"/>
          <w:lang w:val="en-GB"/>
        </w:rPr>
        <w:t xml:space="preserve">ocal </w:t>
      </w:r>
      <w:r w:rsidR="00971958" w:rsidRPr="004261CD">
        <w:rPr>
          <w:rFonts w:ascii="Arial" w:hAnsi="Arial" w:cs="Arial"/>
          <w:sz w:val="22"/>
          <w:szCs w:val="22"/>
          <w:lang w:val="en-GB"/>
        </w:rPr>
        <w:t>a</w:t>
      </w:r>
      <w:r w:rsidR="001A0E7C" w:rsidRPr="004261CD">
        <w:rPr>
          <w:rFonts w:ascii="Arial" w:hAnsi="Arial" w:cs="Arial"/>
          <w:sz w:val="22"/>
          <w:szCs w:val="22"/>
          <w:lang w:val="en-GB"/>
        </w:rPr>
        <w:t>uthority bonds.</w:t>
      </w:r>
    </w:p>
    <w:p w14:paraId="113B41EE" w14:textId="77777777" w:rsidR="00F059CF" w:rsidRPr="004261CD" w:rsidRDefault="00F059CF" w:rsidP="00897379">
      <w:pPr>
        <w:pStyle w:val="ListParagraph"/>
        <w:rPr>
          <w:rFonts w:ascii="Arial" w:hAnsi="Arial" w:cs="Arial"/>
          <w:sz w:val="22"/>
          <w:szCs w:val="22"/>
          <w:lang w:val="en-GB"/>
        </w:rPr>
      </w:pPr>
    </w:p>
    <w:p w14:paraId="06102020" w14:textId="464D3865" w:rsidR="00F059CF" w:rsidRPr="004261CD" w:rsidRDefault="00F059CF" w:rsidP="00897379">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Money Market Funds and Cash Plus Funds offer high degrees of liquidity and counterparty diversification, </w:t>
      </w:r>
      <w:r w:rsidR="00B0303F" w:rsidRPr="004261CD">
        <w:rPr>
          <w:rFonts w:ascii="Arial" w:hAnsi="Arial" w:cs="Arial"/>
          <w:sz w:val="22"/>
          <w:szCs w:val="22"/>
          <w:lang w:val="en-GB"/>
        </w:rPr>
        <w:t>with a typically high aggregate credit quality.</w:t>
      </w:r>
    </w:p>
    <w:p w14:paraId="3879D167" w14:textId="2F3A1ACA" w:rsidR="00B0303F" w:rsidRPr="004261CD" w:rsidRDefault="00B0303F" w:rsidP="00897379">
      <w:pPr>
        <w:rPr>
          <w:rFonts w:ascii="Arial" w:hAnsi="Arial" w:cs="Arial"/>
          <w:sz w:val="22"/>
          <w:szCs w:val="22"/>
          <w:lang w:val="en-GB"/>
        </w:rPr>
      </w:pPr>
    </w:p>
    <w:p w14:paraId="42DF9AEA" w14:textId="43E6E6EC" w:rsidR="00F059CF" w:rsidRPr="004261CD" w:rsidRDefault="00F059CF" w:rsidP="008C75FF">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Structured Notes </w:t>
      </w:r>
      <w:r w:rsidR="00B0303F" w:rsidRPr="004261CD">
        <w:rPr>
          <w:rFonts w:ascii="Arial" w:hAnsi="Arial" w:cs="Arial"/>
          <w:sz w:val="22"/>
          <w:szCs w:val="22"/>
          <w:lang w:val="en-GB"/>
        </w:rPr>
        <w:t xml:space="preserve">are investment products designed to offer an alternative risk/return profile for treasurers to potentially achieve diversified and enhanced returns versus traditional asset classes. They can offer full capital preservation or significant downside protection. </w:t>
      </w:r>
    </w:p>
    <w:p w14:paraId="03A0FE2A" w14:textId="77777777" w:rsidR="008C75FF" w:rsidRPr="004261CD" w:rsidRDefault="008C75FF" w:rsidP="008C75FF">
      <w:pPr>
        <w:pStyle w:val="ListParagraph"/>
        <w:rPr>
          <w:rFonts w:ascii="Arial" w:hAnsi="Arial" w:cs="Arial"/>
          <w:sz w:val="22"/>
          <w:szCs w:val="22"/>
          <w:lang w:val="en-GB"/>
        </w:rPr>
      </w:pPr>
    </w:p>
    <w:p w14:paraId="52434628" w14:textId="4B0588A4" w:rsidR="00233C2A" w:rsidRPr="004261CD" w:rsidRDefault="00B03ABE" w:rsidP="008C75FF">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Bonds</w:t>
      </w:r>
      <w:r w:rsidR="00FA4D13" w:rsidRPr="004261CD">
        <w:rPr>
          <w:rFonts w:ascii="Arial" w:hAnsi="Arial" w:cs="Arial"/>
          <w:sz w:val="22"/>
          <w:szCs w:val="22"/>
          <w:lang w:val="en-GB"/>
        </w:rPr>
        <w:t xml:space="preserve"> offer higher investment </w:t>
      </w:r>
      <w:r w:rsidRPr="004261CD">
        <w:rPr>
          <w:rFonts w:ascii="Arial" w:hAnsi="Arial" w:cs="Arial"/>
          <w:sz w:val="22"/>
          <w:szCs w:val="22"/>
          <w:lang w:val="en-GB"/>
        </w:rPr>
        <w:t xml:space="preserve">returns than available from bank </w:t>
      </w:r>
      <w:r w:rsidR="001F4379" w:rsidRPr="004261CD">
        <w:rPr>
          <w:rFonts w:ascii="Arial" w:hAnsi="Arial" w:cs="Arial"/>
          <w:sz w:val="22"/>
          <w:szCs w:val="22"/>
          <w:lang w:val="en-GB"/>
        </w:rPr>
        <w:t>deposits with</w:t>
      </w:r>
      <w:r w:rsidRPr="004261CD">
        <w:rPr>
          <w:rFonts w:ascii="Arial" w:hAnsi="Arial" w:cs="Arial"/>
          <w:sz w:val="22"/>
          <w:szCs w:val="22"/>
          <w:lang w:val="en-GB"/>
        </w:rPr>
        <w:t xml:space="preserve"> the potential for modes</w:t>
      </w:r>
      <w:r w:rsidR="001F4379" w:rsidRPr="004261CD">
        <w:rPr>
          <w:rFonts w:ascii="Arial" w:hAnsi="Arial" w:cs="Arial"/>
          <w:sz w:val="22"/>
          <w:szCs w:val="22"/>
          <w:lang w:val="en-GB"/>
        </w:rPr>
        <w:t>t</w:t>
      </w:r>
      <w:r w:rsidRPr="004261CD">
        <w:rPr>
          <w:rFonts w:ascii="Arial" w:hAnsi="Arial" w:cs="Arial"/>
          <w:sz w:val="22"/>
          <w:szCs w:val="22"/>
          <w:lang w:val="en-GB"/>
        </w:rPr>
        <w:t xml:space="preserve"> capital growth. </w:t>
      </w:r>
      <w:r w:rsidR="00F059CF" w:rsidRPr="004261CD">
        <w:rPr>
          <w:rFonts w:ascii="Arial" w:hAnsi="Arial" w:cs="Arial"/>
          <w:sz w:val="22"/>
          <w:szCs w:val="22"/>
          <w:lang w:val="en-GB"/>
        </w:rPr>
        <w:t>H</w:t>
      </w:r>
      <w:r w:rsidRPr="004261CD">
        <w:rPr>
          <w:rFonts w:ascii="Arial" w:hAnsi="Arial" w:cs="Arial"/>
          <w:sz w:val="22"/>
          <w:szCs w:val="22"/>
          <w:lang w:val="en-GB"/>
        </w:rPr>
        <w:t>owever</w:t>
      </w:r>
      <w:r w:rsidR="00DF7B48" w:rsidRPr="004261CD">
        <w:rPr>
          <w:rFonts w:ascii="Arial" w:hAnsi="Arial" w:cs="Arial"/>
          <w:sz w:val="22"/>
          <w:szCs w:val="22"/>
          <w:lang w:val="en-GB"/>
        </w:rPr>
        <w:t>,</w:t>
      </w:r>
      <w:r w:rsidRPr="004261CD">
        <w:rPr>
          <w:rFonts w:ascii="Arial" w:hAnsi="Arial" w:cs="Arial"/>
          <w:sz w:val="22"/>
          <w:szCs w:val="22"/>
          <w:lang w:val="en-GB"/>
        </w:rPr>
        <w:t xml:space="preserve"> </w:t>
      </w:r>
      <w:r w:rsidR="00F059CF" w:rsidRPr="004261CD">
        <w:rPr>
          <w:rFonts w:ascii="Arial" w:hAnsi="Arial" w:cs="Arial"/>
          <w:sz w:val="22"/>
          <w:szCs w:val="22"/>
          <w:lang w:val="en-GB"/>
        </w:rPr>
        <w:t xml:space="preserve">if </w:t>
      </w:r>
      <w:r w:rsidRPr="004261CD">
        <w:rPr>
          <w:rFonts w:ascii="Arial" w:hAnsi="Arial" w:cs="Arial"/>
          <w:sz w:val="22"/>
          <w:szCs w:val="22"/>
          <w:lang w:val="en-GB"/>
        </w:rPr>
        <w:t xml:space="preserve">the market price of the bond is marked down </w:t>
      </w:r>
      <w:r w:rsidR="00900E7F" w:rsidRPr="004261CD">
        <w:rPr>
          <w:rFonts w:ascii="Arial" w:hAnsi="Arial" w:cs="Arial"/>
          <w:sz w:val="22"/>
          <w:szCs w:val="22"/>
          <w:lang w:val="en-GB"/>
        </w:rPr>
        <w:t>because of</w:t>
      </w:r>
      <w:r w:rsidR="00204128" w:rsidRPr="004261CD">
        <w:rPr>
          <w:rFonts w:ascii="Arial" w:hAnsi="Arial" w:cs="Arial"/>
          <w:sz w:val="22"/>
          <w:szCs w:val="22"/>
          <w:lang w:val="en-GB"/>
        </w:rPr>
        <w:t xml:space="preserve"> underlying</w:t>
      </w:r>
      <w:r w:rsidR="00233C2A" w:rsidRPr="004261CD">
        <w:rPr>
          <w:rFonts w:ascii="Arial" w:hAnsi="Arial" w:cs="Arial"/>
          <w:sz w:val="22"/>
          <w:szCs w:val="22"/>
          <w:lang w:val="en-GB"/>
        </w:rPr>
        <w:t xml:space="preserve"> financial </w:t>
      </w:r>
      <w:r w:rsidR="001B2010" w:rsidRPr="004261CD">
        <w:rPr>
          <w:rFonts w:ascii="Arial" w:hAnsi="Arial" w:cs="Arial"/>
          <w:sz w:val="22"/>
          <w:szCs w:val="22"/>
          <w:lang w:val="en-GB"/>
        </w:rPr>
        <w:t>under-</w:t>
      </w:r>
      <w:r w:rsidR="005862C6" w:rsidRPr="004261CD">
        <w:rPr>
          <w:rFonts w:ascii="Arial" w:hAnsi="Arial" w:cs="Arial"/>
          <w:sz w:val="22"/>
          <w:szCs w:val="22"/>
          <w:lang w:val="en-GB"/>
        </w:rPr>
        <w:t>performance of the issuer, or</w:t>
      </w:r>
      <w:r w:rsidR="00233C2A" w:rsidRPr="004261CD">
        <w:rPr>
          <w:rFonts w:ascii="Arial" w:hAnsi="Arial" w:cs="Arial"/>
          <w:sz w:val="22"/>
          <w:szCs w:val="22"/>
          <w:lang w:val="en-GB"/>
        </w:rPr>
        <w:t xml:space="preserve"> where </w:t>
      </w:r>
      <w:r w:rsidR="00095AC4" w:rsidRPr="004261CD">
        <w:rPr>
          <w:rFonts w:ascii="Arial" w:hAnsi="Arial" w:cs="Arial"/>
          <w:sz w:val="22"/>
          <w:szCs w:val="22"/>
          <w:lang w:val="en-GB"/>
        </w:rPr>
        <w:t>market</w:t>
      </w:r>
      <w:r w:rsidR="00FA4D13" w:rsidRPr="004261CD">
        <w:rPr>
          <w:rFonts w:ascii="Arial" w:hAnsi="Arial" w:cs="Arial"/>
          <w:sz w:val="22"/>
          <w:szCs w:val="22"/>
          <w:lang w:val="en-GB"/>
        </w:rPr>
        <w:t xml:space="preserve"> yields are increasing</w:t>
      </w:r>
      <w:r w:rsidR="00F059CF" w:rsidRPr="004261CD">
        <w:rPr>
          <w:rFonts w:ascii="Arial" w:hAnsi="Arial" w:cs="Arial"/>
          <w:sz w:val="22"/>
          <w:szCs w:val="22"/>
          <w:lang w:val="en-GB"/>
        </w:rPr>
        <w:t>, they can result in capital losses when sold</w:t>
      </w:r>
    </w:p>
    <w:p w14:paraId="79E74F82" w14:textId="77777777" w:rsidR="008C75FF" w:rsidRPr="004261CD" w:rsidRDefault="008C75FF" w:rsidP="008C75FF">
      <w:pPr>
        <w:pStyle w:val="ListParagraph"/>
        <w:rPr>
          <w:rFonts w:ascii="Arial" w:hAnsi="Arial" w:cs="Arial"/>
          <w:sz w:val="22"/>
          <w:szCs w:val="22"/>
          <w:lang w:val="en-GB"/>
        </w:rPr>
      </w:pPr>
    </w:p>
    <w:p w14:paraId="530A7361" w14:textId="78DFEFD8" w:rsidR="00F059CF" w:rsidRPr="004261CD" w:rsidRDefault="00F059CF" w:rsidP="00897379">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Diversified </w:t>
      </w:r>
      <w:r w:rsidR="00233C2A" w:rsidRPr="004261CD">
        <w:rPr>
          <w:rFonts w:ascii="Arial" w:hAnsi="Arial" w:cs="Arial"/>
          <w:sz w:val="22"/>
          <w:szCs w:val="22"/>
          <w:lang w:val="en-GB"/>
        </w:rPr>
        <w:t xml:space="preserve">Bond </w:t>
      </w:r>
      <w:r w:rsidRPr="004261CD">
        <w:rPr>
          <w:rFonts w:ascii="Arial" w:hAnsi="Arial" w:cs="Arial"/>
          <w:sz w:val="22"/>
          <w:szCs w:val="22"/>
          <w:lang w:val="en-GB"/>
        </w:rPr>
        <w:t xml:space="preserve">portfolios and </w:t>
      </w:r>
      <w:r w:rsidR="00233C2A" w:rsidRPr="004261CD">
        <w:rPr>
          <w:rFonts w:ascii="Arial" w:hAnsi="Arial" w:cs="Arial"/>
          <w:sz w:val="22"/>
          <w:szCs w:val="22"/>
          <w:lang w:val="en-GB"/>
        </w:rPr>
        <w:t xml:space="preserve">funds are </w:t>
      </w:r>
      <w:r w:rsidRPr="004261CD">
        <w:rPr>
          <w:rFonts w:ascii="Arial" w:hAnsi="Arial" w:cs="Arial"/>
          <w:sz w:val="22"/>
          <w:szCs w:val="22"/>
          <w:lang w:val="en-GB"/>
        </w:rPr>
        <w:t>solutions with an underlying inves</w:t>
      </w:r>
      <w:r w:rsidR="00F23D76" w:rsidRPr="004261CD">
        <w:rPr>
          <w:rFonts w:ascii="Arial" w:hAnsi="Arial" w:cs="Arial"/>
          <w:sz w:val="22"/>
          <w:szCs w:val="22"/>
          <w:lang w:val="en-GB"/>
        </w:rPr>
        <w:t>tment in a portfolio of bonds/</w:t>
      </w:r>
      <w:r w:rsidRPr="004261CD">
        <w:rPr>
          <w:rFonts w:ascii="Arial" w:hAnsi="Arial" w:cs="Arial"/>
          <w:sz w:val="22"/>
          <w:szCs w:val="22"/>
          <w:lang w:val="en-GB"/>
        </w:rPr>
        <w:t xml:space="preserve">fixed income securities. These strategies are professionally </w:t>
      </w:r>
      <w:r w:rsidR="00900E7F" w:rsidRPr="004261CD">
        <w:rPr>
          <w:rFonts w:ascii="Arial" w:hAnsi="Arial" w:cs="Arial"/>
          <w:sz w:val="22"/>
          <w:szCs w:val="22"/>
          <w:lang w:val="en-GB"/>
        </w:rPr>
        <w:t>managed,</w:t>
      </w:r>
      <w:r w:rsidRPr="004261CD">
        <w:rPr>
          <w:rFonts w:ascii="Arial" w:hAnsi="Arial" w:cs="Arial"/>
          <w:sz w:val="22"/>
          <w:szCs w:val="22"/>
          <w:lang w:val="en-GB"/>
        </w:rPr>
        <w:t xml:space="preserve"> and risk is spread across </w:t>
      </w:r>
      <w:r w:rsidR="00900E7F" w:rsidRPr="004261CD">
        <w:rPr>
          <w:rFonts w:ascii="Arial" w:hAnsi="Arial" w:cs="Arial"/>
          <w:sz w:val="22"/>
          <w:szCs w:val="22"/>
          <w:lang w:val="en-GB"/>
        </w:rPr>
        <w:t>several</w:t>
      </w:r>
      <w:r w:rsidRPr="004261CD">
        <w:rPr>
          <w:rFonts w:ascii="Arial" w:hAnsi="Arial" w:cs="Arial"/>
          <w:sz w:val="22"/>
          <w:szCs w:val="22"/>
          <w:lang w:val="en-GB"/>
        </w:rPr>
        <w:t xml:space="preserve"> issuers, </w:t>
      </w:r>
      <w:bookmarkStart w:id="4" w:name="_Int_NGz29e2m"/>
      <w:r w:rsidRPr="004261CD">
        <w:rPr>
          <w:rFonts w:ascii="Arial" w:hAnsi="Arial" w:cs="Arial"/>
          <w:sz w:val="22"/>
          <w:szCs w:val="22"/>
          <w:lang w:val="en-GB"/>
        </w:rPr>
        <w:t>sectors</w:t>
      </w:r>
      <w:bookmarkEnd w:id="4"/>
      <w:r w:rsidRPr="004261CD">
        <w:rPr>
          <w:rFonts w:ascii="Arial" w:hAnsi="Arial" w:cs="Arial"/>
          <w:sz w:val="22"/>
          <w:szCs w:val="22"/>
          <w:lang w:val="en-GB"/>
        </w:rPr>
        <w:t xml:space="preserve"> and geographies. </w:t>
      </w:r>
    </w:p>
    <w:p w14:paraId="29066362" w14:textId="77777777" w:rsidR="00F059CF" w:rsidRPr="004261CD" w:rsidRDefault="00F059CF" w:rsidP="00897379">
      <w:pPr>
        <w:pStyle w:val="ListParagraph"/>
        <w:rPr>
          <w:rFonts w:ascii="Arial" w:hAnsi="Arial" w:cs="Arial"/>
          <w:sz w:val="22"/>
          <w:szCs w:val="22"/>
          <w:lang w:val="en-GB"/>
        </w:rPr>
      </w:pPr>
    </w:p>
    <w:p w14:paraId="4B75CBE9" w14:textId="5CB0513A" w:rsidR="00F059CF" w:rsidRPr="004261CD" w:rsidRDefault="00F059CF" w:rsidP="00897379">
      <w:pPr>
        <w:numPr>
          <w:ilvl w:val="1"/>
          <w:numId w:val="1"/>
        </w:numPr>
        <w:tabs>
          <w:tab w:val="num" w:pos="993"/>
        </w:tabs>
        <w:ind w:left="993" w:hanging="633"/>
        <w:rPr>
          <w:rFonts w:ascii="Arial" w:hAnsi="Arial" w:cs="Arial"/>
          <w:sz w:val="22"/>
          <w:szCs w:val="22"/>
          <w:lang w:val="en-GB"/>
        </w:rPr>
      </w:pPr>
      <w:r w:rsidRPr="004261CD">
        <w:rPr>
          <w:rFonts w:ascii="Arial" w:hAnsi="Arial" w:cs="Arial"/>
          <w:sz w:val="22"/>
          <w:szCs w:val="22"/>
          <w:lang w:val="en-GB"/>
        </w:rPr>
        <w:t xml:space="preserve">Diversified Multi-Asset Class portfolios and funds are solutions with an underlying investment in a broad portfolio of different assets. These solutions are professionally managed to a risk profile, time horizon and investment objective consistent with the University’s risk appetite </w:t>
      </w:r>
      <w:r w:rsidR="00B0303F" w:rsidRPr="004261CD">
        <w:rPr>
          <w:rFonts w:ascii="Arial" w:hAnsi="Arial" w:cs="Arial"/>
          <w:sz w:val="22"/>
          <w:szCs w:val="22"/>
          <w:lang w:val="en-GB"/>
        </w:rPr>
        <w:t xml:space="preserve">and return ambitions </w:t>
      </w:r>
      <w:r w:rsidRPr="004261CD">
        <w:rPr>
          <w:rFonts w:ascii="Arial" w:hAnsi="Arial" w:cs="Arial"/>
          <w:sz w:val="22"/>
          <w:szCs w:val="22"/>
          <w:lang w:val="en-GB"/>
        </w:rPr>
        <w:t xml:space="preserve">over the medium term. </w:t>
      </w:r>
    </w:p>
    <w:p w14:paraId="5BC81002" w14:textId="77777777" w:rsidR="00915DAC" w:rsidRPr="004261CD" w:rsidRDefault="00915DAC" w:rsidP="000B4545">
      <w:pPr>
        <w:rPr>
          <w:rFonts w:ascii="Arial" w:hAnsi="Arial" w:cs="Arial"/>
          <w:b/>
          <w:sz w:val="22"/>
          <w:szCs w:val="22"/>
          <w:lang w:val="en-GB"/>
        </w:rPr>
      </w:pPr>
    </w:p>
    <w:p w14:paraId="457B7EC4" w14:textId="3EB9C8EB" w:rsidR="00B0303F" w:rsidRPr="004261CD" w:rsidRDefault="00554CA6" w:rsidP="008C75FF">
      <w:pPr>
        <w:numPr>
          <w:ilvl w:val="0"/>
          <w:numId w:val="1"/>
        </w:numPr>
        <w:tabs>
          <w:tab w:val="left" w:pos="993"/>
        </w:tabs>
        <w:ind w:firstLine="0"/>
        <w:rPr>
          <w:rFonts w:ascii="Arial" w:hAnsi="Arial" w:cs="Arial"/>
          <w:b/>
          <w:sz w:val="22"/>
          <w:szCs w:val="22"/>
          <w:lang w:val="en-GB"/>
        </w:rPr>
      </w:pPr>
      <w:r>
        <w:rPr>
          <w:rFonts w:ascii="Arial" w:hAnsi="Arial" w:cs="Arial"/>
          <w:b/>
          <w:sz w:val="22"/>
          <w:szCs w:val="22"/>
          <w:lang w:val="en-GB"/>
        </w:rPr>
        <w:t>Ethical</w:t>
      </w:r>
      <w:r w:rsidR="009E3285" w:rsidRPr="004261CD">
        <w:rPr>
          <w:rFonts w:ascii="Arial" w:hAnsi="Arial" w:cs="Arial"/>
          <w:b/>
          <w:sz w:val="22"/>
          <w:szCs w:val="22"/>
          <w:lang w:val="en-GB"/>
        </w:rPr>
        <w:t xml:space="preserve"> Investment Policy</w:t>
      </w:r>
    </w:p>
    <w:p w14:paraId="3832B7B0" w14:textId="77777777" w:rsidR="00F71592" w:rsidRDefault="00F71592" w:rsidP="00F71592">
      <w:pPr>
        <w:spacing w:line="351" w:lineRule="exact"/>
        <w:jc w:val="both"/>
      </w:pPr>
    </w:p>
    <w:p w14:paraId="0CBDAEB6" w14:textId="77777777"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The University routinely invests funds with third party organisations through the regular investment of surplus funds and endowments. The Ethical Investment Policy of London Metropolitan University is intended to be consistent with the duty to secure maximum returns from the investment of such funds.</w:t>
      </w:r>
    </w:p>
    <w:p w14:paraId="63E43270" w14:textId="77777777" w:rsidR="00F71592" w:rsidRPr="00F71592" w:rsidRDefault="00F71592" w:rsidP="00F71592">
      <w:pPr>
        <w:ind w:left="993"/>
        <w:rPr>
          <w:rFonts w:ascii="Arial" w:hAnsi="Arial" w:cs="Arial"/>
          <w:sz w:val="22"/>
          <w:szCs w:val="22"/>
          <w:lang w:val="en-GB"/>
        </w:rPr>
      </w:pPr>
    </w:p>
    <w:p w14:paraId="446FE6FA" w14:textId="77777777"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 xml:space="preserve">Through the work of its fund managers, the University seeks to achieve maximum return from a set of investments that have been selected in accordance with our Policy. The University expects its investment managers, as part of their normal investment research and analysis process, to take account of social, environmental, ethical and governance considerations in the selection, </w:t>
      </w:r>
      <w:bookmarkStart w:id="5" w:name="_Int_ex6w4pTh"/>
      <w:r w:rsidRPr="00F71592">
        <w:rPr>
          <w:rFonts w:ascii="Arial" w:hAnsi="Arial" w:cs="Arial"/>
          <w:sz w:val="22"/>
          <w:szCs w:val="22"/>
          <w:lang w:val="en-GB"/>
        </w:rPr>
        <w:t>retention</w:t>
      </w:r>
      <w:bookmarkEnd w:id="5"/>
      <w:r w:rsidRPr="00F71592">
        <w:rPr>
          <w:rFonts w:ascii="Arial" w:hAnsi="Arial" w:cs="Arial"/>
          <w:sz w:val="22"/>
          <w:szCs w:val="22"/>
          <w:lang w:val="en-GB"/>
        </w:rPr>
        <w:t xml:space="preserve"> and realisation of investments. The University is committed to transparency about how and when investment decisions were made.</w:t>
      </w:r>
    </w:p>
    <w:p w14:paraId="13FCDB11" w14:textId="77777777" w:rsidR="00F71592" w:rsidRPr="00F71592" w:rsidRDefault="00F71592" w:rsidP="00F71592">
      <w:pPr>
        <w:ind w:left="993"/>
        <w:rPr>
          <w:rFonts w:ascii="Arial" w:hAnsi="Arial" w:cs="Arial"/>
          <w:sz w:val="22"/>
          <w:szCs w:val="22"/>
          <w:lang w:val="en-GB"/>
        </w:rPr>
      </w:pPr>
    </w:p>
    <w:p w14:paraId="666CD146" w14:textId="77777777"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Wherever possible the University will make such investments in ways that are consistent with the mission and values of the University.</w:t>
      </w:r>
    </w:p>
    <w:p w14:paraId="77A549CF" w14:textId="77777777" w:rsidR="00F71592" w:rsidRPr="00F71592" w:rsidRDefault="00F71592" w:rsidP="00F71592">
      <w:pPr>
        <w:ind w:left="993"/>
        <w:rPr>
          <w:rFonts w:ascii="Arial" w:hAnsi="Arial" w:cs="Arial"/>
          <w:sz w:val="22"/>
          <w:szCs w:val="22"/>
          <w:lang w:val="en-GB"/>
        </w:rPr>
      </w:pPr>
    </w:p>
    <w:p w14:paraId="1B0D932C" w14:textId="77777777"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The University will strive to invest in companies where the activities of the company are, on ethical grounds, consistent with the educational and/or research objectives of the University even though this may reduce returns. No direct investments will be made in:</w:t>
      </w:r>
    </w:p>
    <w:p w14:paraId="72D3B3F5" w14:textId="77777777" w:rsidR="00F71592" w:rsidRPr="00F71592" w:rsidRDefault="00F71592" w:rsidP="00F71592">
      <w:pPr>
        <w:ind w:left="993"/>
        <w:rPr>
          <w:rFonts w:ascii="Arial" w:hAnsi="Arial" w:cs="Arial"/>
          <w:sz w:val="22"/>
          <w:szCs w:val="22"/>
          <w:lang w:val="en-GB"/>
        </w:rPr>
      </w:pPr>
    </w:p>
    <w:p w14:paraId="3EABA7F4" w14:textId="77777777"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Tobacco – Any companies involved in producing and distribution of tobacco products or any companies involved in the manufacture of cigarettes and other tobacco products.</w:t>
      </w:r>
    </w:p>
    <w:p w14:paraId="58F9EBB3" w14:textId="77777777" w:rsidR="00F71592" w:rsidRPr="00F71592" w:rsidRDefault="00F71592" w:rsidP="00F71592">
      <w:pPr>
        <w:rPr>
          <w:rFonts w:ascii="Arial" w:hAnsi="Arial" w:cs="Arial"/>
          <w:sz w:val="22"/>
          <w:szCs w:val="22"/>
          <w:lang w:val="en-GB"/>
        </w:rPr>
      </w:pPr>
    </w:p>
    <w:p w14:paraId="06D42233" w14:textId="17F8E81B"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 xml:space="preserve">Armaments – Companies producing weapons and weapon systems, including cluster munitions and anti-personnel landmines. Companies whose </w:t>
      </w:r>
      <w:bookmarkStart w:id="6" w:name="_Int_pUdAeL2R"/>
      <w:r w:rsidRPr="00F71592">
        <w:rPr>
          <w:rFonts w:ascii="Arial" w:hAnsi="Arial" w:cs="Arial"/>
          <w:sz w:val="22"/>
          <w:szCs w:val="22"/>
          <w:lang w:val="en-GB"/>
        </w:rPr>
        <w:t>main business</w:t>
      </w:r>
      <w:bookmarkEnd w:id="6"/>
      <w:r w:rsidRPr="00F71592">
        <w:rPr>
          <w:rFonts w:ascii="Arial" w:hAnsi="Arial" w:cs="Arial"/>
          <w:sz w:val="22"/>
          <w:szCs w:val="22"/>
          <w:lang w:val="en-GB"/>
        </w:rPr>
        <w:t xml:space="preserve"> includes the supply of strategic components (such as weapons guidance systems</w:t>
      </w:r>
      <w:r w:rsidR="537DB9BE" w:rsidRPr="355511A7">
        <w:rPr>
          <w:rFonts w:ascii="Arial" w:hAnsi="Arial" w:cs="Arial"/>
          <w:sz w:val="22"/>
          <w:szCs w:val="22"/>
          <w:lang w:val="en-GB"/>
        </w:rPr>
        <w:t>),</w:t>
      </w:r>
      <w:r w:rsidRPr="00F71592">
        <w:rPr>
          <w:rFonts w:ascii="Arial" w:hAnsi="Arial" w:cs="Arial"/>
          <w:sz w:val="22"/>
          <w:szCs w:val="22"/>
          <w:lang w:val="en-GB"/>
        </w:rPr>
        <w:t xml:space="preserve"> and services are also excluded.</w:t>
      </w:r>
    </w:p>
    <w:p w14:paraId="4DAE0798" w14:textId="77777777" w:rsidR="00F71592" w:rsidRPr="00F71592" w:rsidRDefault="00F71592" w:rsidP="00F71592">
      <w:pPr>
        <w:rPr>
          <w:rFonts w:ascii="Arial" w:hAnsi="Arial" w:cs="Arial"/>
          <w:sz w:val="22"/>
          <w:szCs w:val="22"/>
          <w:lang w:val="en-GB"/>
        </w:rPr>
      </w:pPr>
    </w:p>
    <w:p w14:paraId="2866435D" w14:textId="5361073A"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 xml:space="preserve">Human Rights &amp; Labour standards – Any companies which condone the practices of human trafficking, slavery or forced labour. The University will not knowingly invest directly or indirectly in organisations that breach human rights or that breach the Modern Slavery Act 2015. There are many companies and organisations which have historic links to slavery, however the University has been assured, where applicable, that funding for initiatives within the </w:t>
      </w:r>
      <w:r w:rsidR="009643E5" w:rsidRPr="00F71592">
        <w:rPr>
          <w:rFonts w:ascii="Arial" w:hAnsi="Arial" w:cs="Arial"/>
          <w:sz w:val="22"/>
          <w:szCs w:val="22"/>
          <w:lang w:val="en-GB"/>
        </w:rPr>
        <w:t>Black</w:t>
      </w:r>
      <w:r w:rsidRPr="00F71592">
        <w:rPr>
          <w:rFonts w:ascii="Arial" w:hAnsi="Arial" w:cs="Arial"/>
          <w:sz w:val="22"/>
          <w:szCs w:val="22"/>
          <w:lang w:val="en-GB"/>
        </w:rPr>
        <w:t xml:space="preserve"> communities both in the UK and globally is provided now and in the future for reparations.</w:t>
      </w:r>
    </w:p>
    <w:p w14:paraId="1E4FDBA6" w14:textId="77777777" w:rsidR="00F71592" w:rsidRPr="00F71592" w:rsidRDefault="00F71592" w:rsidP="00F71592">
      <w:pPr>
        <w:rPr>
          <w:rFonts w:ascii="Arial" w:hAnsi="Arial" w:cs="Arial"/>
          <w:sz w:val="22"/>
          <w:szCs w:val="22"/>
          <w:lang w:val="en-GB"/>
        </w:rPr>
      </w:pPr>
    </w:p>
    <w:p w14:paraId="78AA3EF3" w14:textId="77777777"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Oil &amp; Mining Companies – Any companies involved in Thermal Coal, Oil Shale &amp; Tar Sands production which is considered to cause pollution.</w:t>
      </w:r>
    </w:p>
    <w:p w14:paraId="363DF3B4" w14:textId="77777777" w:rsidR="00F71592" w:rsidRPr="00F71592" w:rsidRDefault="00F71592" w:rsidP="00F71592">
      <w:pPr>
        <w:ind w:left="360"/>
        <w:rPr>
          <w:rFonts w:ascii="Arial" w:hAnsi="Arial" w:cs="Arial"/>
          <w:sz w:val="22"/>
          <w:szCs w:val="22"/>
          <w:lang w:val="en-GB"/>
        </w:rPr>
      </w:pPr>
    </w:p>
    <w:p w14:paraId="01BB0AF3" w14:textId="6AEAC51A" w:rsid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 xml:space="preserve">The University will also </w:t>
      </w:r>
      <w:bookmarkStart w:id="7" w:name="_Int_6ZxD7AQV"/>
      <w:proofErr w:type="gramStart"/>
      <w:r w:rsidRPr="00F71592">
        <w:rPr>
          <w:rFonts w:ascii="Arial" w:hAnsi="Arial" w:cs="Arial"/>
          <w:sz w:val="22"/>
          <w:szCs w:val="22"/>
          <w:lang w:val="en-GB"/>
        </w:rPr>
        <w:t>take into account</w:t>
      </w:r>
      <w:bookmarkEnd w:id="7"/>
      <w:proofErr w:type="gramEnd"/>
      <w:r w:rsidRPr="00F71592">
        <w:rPr>
          <w:rFonts w:ascii="Arial" w:hAnsi="Arial" w:cs="Arial"/>
          <w:sz w:val="22"/>
          <w:szCs w:val="22"/>
          <w:lang w:val="en-GB"/>
        </w:rPr>
        <w:t xml:space="preserve"> the published guidance of the Charity Commission on ethical and socially responsible investment of charitable funds. </w:t>
      </w:r>
      <w:r w:rsidRPr="4AFC1DB9">
        <w:rPr>
          <w:rFonts w:ascii="Arial" w:hAnsi="Arial" w:cs="Arial"/>
          <w:sz w:val="22"/>
          <w:szCs w:val="22"/>
          <w:lang w:val="en-GB"/>
        </w:rPr>
        <w:t xml:space="preserve">In addition, </w:t>
      </w:r>
      <w:r w:rsidR="402748F3" w:rsidRPr="4AFC1DB9">
        <w:rPr>
          <w:rFonts w:ascii="Arial" w:hAnsi="Arial" w:cs="Arial"/>
          <w:sz w:val="22"/>
          <w:szCs w:val="22"/>
          <w:lang w:val="en-GB"/>
        </w:rPr>
        <w:t>the</w:t>
      </w:r>
      <w:r w:rsidRPr="4AFC1DB9">
        <w:rPr>
          <w:rFonts w:ascii="Arial" w:hAnsi="Arial" w:cs="Arial"/>
          <w:sz w:val="22"/>
          <w:szCs w:val="22"/>
          <w:lang w:val="en-GB"/>
        </w:rPr>
        <w:t xml:space="preserve"> </w:t>
      </w:r>
      <w:hyperlink r:id="rId12">
        <w:r w:rsidRPr="4AFC1DB9">
          <w:rPr>
            <w:rFonts w:ascii="Arial" w:hAnsi="Arial" w:cs="Arial"/>
            <w:sz w:val="22"/>
            <w:szCs w:val="22"/>
            <w:lang w:val="en-GB"/>
          </w:rPr>
          <w:t>UKSIF</w:t>
        </w:r>
      </w:hyperlink>
      <w:r w:rsidRPr="00F71592">
        <w:rPr>
          <w:rFonts w:ascii="Arial" w:hAnsi="Arial" w:cs="Arial"/>
          <w:sz w:val="22"/>
          <w:szCs w:val="22"/>
          <w:lang w:val="en-GB"/>
        </w:rPr>
        <w:t xml:space="preserve"> (UK's membership network for sustainable and responsible financial services) and </w:t>
      </w:r>
      <w:hyperlink r:id="rId13">
        <w:r w:rsidRPr="4AFC1DB9">
          <w:rPr>
            <w:rFonts w:ascii="Arial" w:hAnsi="Arial" w:cs="Arial"/>
            <w:sz w:val="22"/>
            <w:szCs w:val="22"/>
            <w:lang w:val="en-GB"/>
          </w:rPr>
          <w:t>EIRIS Foundation</w:t>
        </w:r>
      </w:hyperlink>
      <w:r w:rsidRPr="00F71592">
        <w:rPr>
          <w:rFonts w:ascii="Arial" w:hAnsi="Arial" w:cs="Arial"/>
          <w:sz w:val="22"/>
          <w:szCs w:val="22"/>
          <w:lang w:val="en-GB"/>
        </w:rPr>
        <w:t xml:space="preserve"> (a charity that supports ethical investment) guidance is also taken into consideration. EIRIS researches the social and ethical aspects of companies and provides other charities with information and advice to enable them to choose investments which do not conflict with their work.</w:t>
      </w:r>
    </w:p>
    <w:p w14:paraId="355E5CAA" w14:textId="77777777" w:rsidR="00F71592" w:rsidRPr="00F71592" w:rsidRDefault="00F71592" w:rsidP="00F71592">
      <w:pPr>
        <w:rPr>
          <w:rFonts w:ascii="Arial" w:hAnsi="Arial" w:cs="Arial"/>
          <w:sz w:val="22"/>
          <w:szCs w:val="22"/>
          <w:lang w:val="en-GB"/>
        </w:rPr>
      </w:pPr>
    </w:p>
    <w:p w14:paraId="7F9FB57C" w14:textId="1D0AE177" w:rsidR="00F71592" w:rsidRPr="00F71592" w:rsidRDefault="00F71592" w:rsidP="00F71592">
      <w:pPr>
        <w:numPr>
          <w:ilvl w:val="1"/>
          <w:numId w:val="1"/>
        </w:numPr>
        <w:tabs>
          <w:tab w:val="num" w:pos="993"/>
        </w:tabs>
        <w:ind w:left="993" w:hanging="633"/>
        <w:rPr>
          <w:rFonts w:ascii="Arial" w:hAnsi="Arial" w:cs="Arial"/>
          <w:sz w:val="22"/>
          <w:szCs w:val="22"/>
          <w:lang w:val="en-GB"/>
        </w:rPr>
      </w:pPr>
      <w:r w:rsidRPr="00F71592">
        <w:rPr>
          <w:rFonts w:ascii="Arial" w:hAnsi="Arial" w:cs="Arial"/>
          <w:sz w:val="22"/>
          <w:szCs w:val="22"/>
          <w:lang w:val="en-GB"/>
        </w:rPr>
        <w:t xml:space="preserve">UKSIF promotes responsible investment and other forms of finance that support sustainable economic development, enhance quality of </w:t>
      </w:r>
      <w:bookmarkStart w:id="8" w:name="_Int_Jn1SNx1l"/>
      <w:r w:rsidRPr="00F71592">
        <w:rPr>
          <w:rFonts w:ascii="Arial" w:hAnsi="Arial" w:cs="Arial"/>
          <w:sz w:val="22"/>
          <w:szCs w:val="22"/>
          <w:lang w:val="en-GB"/>
        </w:rPr>
        <w:t>life</w:t>
      </w:r>
      <w:bookmarkEnd w:id="8"/>
      <w:r w:rsidRPr="00F71592">
        <w:rPr>
          <w:rFonts w:ascii="Arial" w:hAnsi="Arial" w:cs="Arial"/>
          <w:sz w:val="22"/>
          <w:szCs w:val="22"/>
          <w:lang w:val="en-GB"/>
        </w:rPr>
        <w:t xml:space="preserve"> and safeguard the environment.</w:t>
      </w:r>
    </w:p>
    <w:p w14:paraId="712F1C1A" w14:textId="77777777" w:rsidR="00B0303F" w:rsidRPr="00F71592" w:rsidRDefault="00B0303F" w:rsidP="00897379">
      <w:pPr>
        <w:tabs>
          <w:tab w:val="left" w:pos="993"/>
        </w:tabs>
        <w:ind w:left="360"/>
        <w:rPr>
          <w:rFonts w:ascii="Arial" w:hAnsi="Arial" w:cs="Arial"/>
          <w:b/>
          <w:sz w:val="22"/>
          <w:szCs w:val="22"/>
          <w:lang w:val="en"/>
        </w:rPr>
      </w:pPr>
    </w:p>
    <w:p w14:paraId="251B0627" w14:textId="4BFE1450" w:rsidR="00772FDF" w:rsidRPr="004261CD" w:rsidRDefault="004D464D" w:rsidP="008C75FF">
      <w:pPr>
        <w:numPr>
          <w:ilvl w:val="0"/>
          <w:numId w:val="1"/>
        </w:numPr>
        <w:tabs>
          <w:tab w:val="left" w:pos="993"/>
        </w:tabs>
        <w:ind w:firstLine="0"/>
        <w:rPr>
          <w:rFonts w:ascii="Arial" w:hAnsi="Arial" w:cs="Arial"/>
          <w:b/>
          <w:sz w:val="22"/>
          <w:szCs w:val="22"/>
          <w:lang w:val="en-GB"/>
        </w:rPr>
      </w:pPr>
      <w:r w:rsidRPr="004261CD">
        <w:rPr>
          <w:rFonts w:ascii="Arial" w:hAnsi="Arial" w:cs="Arial"/>
          <w:b/>
          <w:sz w:val="22"/>
          <w:szCs w:val="22"/>
          <w:lang w:val="en-GB"/>
        </w:rPr>
        <w:t>B</w:t>
      </w:r>
      <w:r w:rsidR="009E3285" w:rsidRPr="004261CD">
        <w:rPr>
          <w:rFonts w:ascii="Arial" w:hAnsi="Arial" w:cs="Arial"/>
          <w:b/>
          <w:sz w:val="22"/>
          <w:szCs w:val="22"/>
          <w:lang w:val="en-GB"/>
        </w:rPr>
        <w:t>orrowing</w:t>
      </w:r>
    </w:p>
    <w:p w14:paraId="18C7CF73" w14:textId="77777777" w:rsidR="00772FDF" w:rsidRPr="004261CD" w:rsidRDefault="00772FDF" w:rsidP="00772FDF">
      <w:pPr>
        <w:rPr>
          <w:rFonts w:ascii="Arial" w:hAnsi="Arial" w:cs="Arial"/>
          <w:b/>
          <w:i/>
          <w:sz w:val="22"/>
          <w:szCs w:val="22"/>
          <w:lang w:val="en-GB"/>
        </w:rPr>
      </w:pPr>
    </w:p>
    <w:p w14:paraId="002AB28D" w14:textId="057A56EB" w:rsidR="00F77A5A" w:rsidRPr="00F71592" w:rsidRDefault="00704ECE" w:rsidP="00F77A5A">
      <w:pPr>
        <w:numPr>
          <w:ilvl w:val="1"/>
          <w:numId w:val="1"/>
        </w:numPr>
        <w:tabs>
          <w:tab w:val="clear" w:pos="1283"/>
          <w:tab w:val="left" w:pos="993"/>
          <w:tab w:val="num" w:pos="1916"/>
        </w:tabs>
        <w:ind w:left="993" w:hanging="633"/>
        <w:rPr>
          <w:rFonts w:ascii="Arial" w:hAnsi="Arial" w:cs="Arial"/>
          <w:b/>
          <w:bCs/>
          <w:sz w:val="22"/>
          <w:szCs w:val="22"/>
          <w:lang w:val="en-GB"/>
        </w:rPr>
      </w:pPr>
      <w:r w:rsidRPr="00F77A5A">
        <w:rPr>
          <w:rFonts w:ascii="Arial" w:hAnsi="Arial" w:cs="Arial"/>
          <w:sz w:val="22"/>
          <w:szCs w:val="22"/>
          <w:lang w:val="en-GB"/>
        </w:rPr>
        <w:t xml:space="preserve">All major capital projects must be approved by the </w:t>
      </w:r>
      <w:r w:rsidR="00D93DBD" w:rsidRPr="00F77A5A">
        <w:rPr>
          <w:rFonts w:ascii="Arial" w:hAnsi="Arial" w:cs="Arial"/>
          <w:sz w:val="22"/>
          <w:szCs w:val="22"/>
          <w:lang w:val="en-GB"/>
        </w:rPr>
        <w:t>Governing Body</w:t>
      </w:r>
      <w:r w:rsidRPr="00F77A5A">
        <w:rPr>
          <w:rFonts w:ascii="Arial" w:hAnsi="Arial" w:cs="Arial"/>
          <w:sz w:val="22"/>
          <w:szCs w:val="22"/>
          <w:lang w:val="en-GB"/>
        </w:rPr>
        <w:t>. This must include information on the project life, its cash flows, the rates used in discounting these, its financing</w:t>
      </w:r>
      <w:r w:rsidR="50558D30" w:rsidRPr="52510E87">
        <w:rPr>
          <w:rFonts w:ascii="Arial" w:hAnsi="Arial" w:cs="Arial"/>
          <w:sz w:val="22"/>
          <w:szCs w:val="22"/>
          <w:lang w:val="en-GB"/>
        </w:rPr>
        <w:t>,</w:t>
      </w:r>
      <w:r w:rsidRPr="00F77A5A">
        <w:rPr>
          <w:rFonts w:ascii="Arial" w:hAnsi="Arial" w:cs="Arial"/>
          <w:sz w:val="22"/>
          <w:szCs w:val="22"/>
          <w:lang w:val="en-GB"/>
        </w:rPr>
        <w:t xml:space="preserve"> and the cost of finance.</w:t>
      </w:r>
    </w:p>
    <w:p w14:paraId="64309E59" w14:textId="77777777" w:rsidR="00F71592" w:rsidRPr="00F77A5A" w:rsidRDefault="00F71592" w:rsidP="00F71592">
      <w:pPr>
        <w:tabs>
          <w:tab w:val="left" w:pos="993"/>
        </w:tabs>
        <w:ind w:left="360"/>
        <w:rPr>
          <w:rFonts w:ascii="Arial" w:hAnsi="Arial" w:cs="Arial"/>
          <w:b/>
          <w:sz w:val="22"/>
          <w:szCs w:val="22"/>
          <w:lang w:val="en-GB"/>
        </w:rPr>
      </w:pPr>
    </w:p>
    <w:p w14:paraId="2382B3C0" w14:textId="763C3E30" w:rsidR="00DD7194" w:rsidRPr="00F77A5A" w:rsidRDefault="00704ECE" w:rsidP="00F77A5A">
      <w:pPr>
        <w:numPr>
          <w:ilvl w:val="1"/>
          <w:numId w:val="1"/>
        </w:numPr>
        <w:tabs>
          <w:tab w:val="clear" w:pos="1283"/>
          <w:tab w:val="left" w:pos="993"/>
          <w:tab w:val="num" w:pos="1916"/>
        </w:tabs>
        <w:ind w:left="993" w:hanging="633"/>
        <w:rPr>
          <w:rFonts w:ascii="Arial" w:hAnsi="Arial" w:cs="Arial"/>
          <w:b/>
          <w:sz w:val="22"/>
          <w:szCs w:val="22"/>
          <w:lang w:val="en-GB"/>
        </w:rPr>
      </w:pPr>
      <w:r w:rsidRPr="00F77A5A">
        <w:rPr>
          <w:rFonts w:ascii="Arial" w:hAnsi="Arial" w:cs="Arial"/>
          <w:sz w:val="22"/>
          <w:szCs w:val="22"/>
          <w:lang w:val="en-GB"/>
        </w:rPr>
        <w:t xml:space="preserve">All borrowing (for whatever purpose) must have the prior approval of the </w:t>
      </w:r>
      <w:r w:rsidR="00D93DBD" w:rsidRPr="00F77A5A">
        <w:rPr>
          <w:rFonts w:ascii="Arial" w:hAnsi="Arial" w:cs="Arial"/>
          <w:sz w:val="22"/>
          <w:szCs w:val="22"/>
          <w:lang w:val="en-GB"/>
        </w:rPr>
        <w:t>Governing Body</w:t>
      </w:r>
      <w:r w:rsidRPr="00F77A5A">
        <w:rPr>
          <w:rFonts w:ascii="Arial" w:hAnsi="Arial" w:cs="Arial"/>
          <w:sz w:val="22"/>
          <w:szCs w:val="22"/>
          <w:lang w:val="en-GB"/>
        </w:rPr>
        <w:t>.</w:t>
      </w:r>
    </w:p>
    <w:p w14:paraId="122C1158" w14:textId="77777777" w:rsidR="00DD7194" w:rsidRPr="004261CD" w:rsidRDefault="00DD7194" w:rsidP="00F77A5A">
      <w:pPr>
        <w:tabs>
          <w:tab w:val="left" w:pos="993"/>
        </w:tabs>
        <w:ind w:left="993"/>
        <w:rPr>
          <w:rFonts w:ascii="Arial" w:hAnsi="Arial" w:cs="Arial"/>
          <w:b/>
          <w:sz w:val="22"/>
          <w:szCs w:val="22"/>
          <w:lang w:val="en-GB"/>
        </w:rPr>
      </w:pPr>
    </w:p>
    <w:p w14:paraId="59FC0C88" w14:textId="122CF887" w:rsidR="000E6156" w:rsidRPr="004261CD" w:rsidRDefault="0086271B" w:rsidP="00E37C3D">
      <w:pPr>
        <w:numPr>
          <w:ilvl w:val="0"/>
          <w:numId w:val="1"/>
        </w:numPr>
        <w:tabs>
          <w:tab w:val="left" w:pos="993"/>
        </w:tabs>
        <w:ind w:firstLine="0"/>
        <w:rPr>
          <w:rFonts w:ascii="Arial" w:hAnsi="Arial" w:cs="Arial"/>
          <w:b/>
          <w:sz w:val="22"/>
          <w:szCs w:val="22"/>
          <w:lang w:val="en-GB"/>
        </w:rPr>
      </w:pPr>
      <w:r w:rsidRPr="004261CD">
        <w:rPr>
          <w:rFonts w:ascii="Arial" w:hAnsi="Arial" w:cs="Arial"/>
          <w:b/>
          <w:sz w:val="22"/>
          <w:szCs w:val="22"/>
          <w:lang w:val="en-GB"/>
        </w:rPr>
        <w:t>R</w:t>
      </w:r>
      <w:r w:rsidR="009E3285" w:rsidRPr="004261CD">
        <w:rPr>
          <w:rFonts w:ascii="Arial" w:hAnsi="Arial" w:cs="Arial"/>
          <w:b/>
          <w:sz w:val="22"/>
          <w:szCs w:val="22"/>
          <w:lang w:val="en-GB"/>
        </w:rPr>
        <w:t>eporting</w:t>
      </w:r>
    </w:p>
    <w:p w14:paraId="3F3FF45D" w14:textId="77777777" w:rsidR="00E217E9" w:rsidRPr="004261CD" w:rsidRDefault="00E217E9" w:rsidP="00F77A5A">
      <w:pPr>
        <w:tabs>
          <w:tab w:val="left" w:pos="993"/>
        </w:tabs>
        <w:rPr>
          <w:rFonts w:ascii="Arial" w:hAnsi="Arial" w:cs="Arial"/>
          <w:sz w:val="22"/>
          <w:szCs w:val="22"/>
          <w:lang w:val="en-GB"/>
        </w:rPr>
      </w:pPr>
    </w:p>
    <w:p w14:paraId="581C3B4C" w14:textId="46919EBE" w:rsidR="00E540A1" w:rsidRPr="004261CD" w:rsidRDefault="00772FDF">
      <w:pPr>
        <w:numPr>
          <w:ilvl w:val="1"/>
          <w:numId w:val="1"/>
        </w:numPr>
        <w:tabs>
          <w:tab w:val="left" w:pos="993"/>
        </w:tabs>
        <w:ind w:left="993" w:hanging="633"/>
        <w:rPr>
          <w:rFonts w:ascii="Arial" w:hAnsi="Arial" w:cs="Arial"/>
          <w:sz w:val="22"/>
          <w:szCs w:val="22"/>
          <w:lang w:val="en-GB"/>
        </w:rPr>
      </w:pPr>
      <w:r w:rsidRPr="004261CD">
        <w:rPr>
          <w:rFonts w:ascii="Arial" w:hAnsi="Arial" w:cs="Arial"/>
          <w:sz w:val="22"/>
          <w:szCs w:val="22"/>
          <w:lang w:val="en-GB"/>
        </w:rPr>
        <w:t xml:space="preserve">The </w:t>
      </w:r>
      <w:r w:rsidR="00252C0A">
        <w:rPr>
          <w:rFonts w:ascii="Arial" w:hAnsi="Arial" w:cs="Arial"/>
          <w:sz w:val="22"/>
          <w:szCs w:val="22"/>
          <w:lang w:val="en-GB"/>
        </w:rPr>
        <w:t xml:space="preserve">Chief Operating Officer </w:t>
      </w:r>
      <w:r w:rsidR="00F77A5A">
        <w:rPr>
          <w:rFonts w:ascii="Arial" w:hAnsi="Arial" w:cs="Arial"/>
          <w:sz w:val="22"/>
          <w:szCs w:val="22"/>
          <w:lang w:val="en-GB"/>
        </w:rPr>
        <w:t xml:space="preserve">will </w:t>
      </w:r>
      <w:r w:rsidR="005A3547" w:rsidRPr="004261CD">
        <w:rPr>
          <w:rFonts w:ascii="Arial" w:hAnsi="Arial" w:cs="Arial"/>
          <w:sz w:val="22"/>
          <w:szCs w:val="22"/>
          <w:lang w:val="en-GB"/>
        </w:rPr>
        <w:t xml:space="preserve">submit to </w:t>
      </w:r>
      <w:r w:rsidR="00522E14" w:rsidRPr="004261CD">
        <w:rPr>
          <w:rFonts w:ascii="Arial" w:hAnsi="Arial" w:cs="Arial"/>
          <w:sz w:val="22"/>
          <w:szCs w:val="22"/>
          <w:lang w:val="en-GB"/>
        </w:rPr>
        <w:t>the</w:t>
      </w:r>
      <w:r w:rsidRPr="004261CD">
        <w:rPr>
          <w:rFonts w:ascii="Arial" w:hAnsi="Arial" w:cs="Arial"/>
          <w:sz w:val="22"/>
          <w:szCs w:val="22"/>
          <w:lang w:val="en-GB"/>
        </w:rPr>
        <w:t xml:space="preserve"> </w:t>
      </w:r>
      <w:r w:rsidR="004261CD" w:rsidRPr="004261CD">
        <w:rPr>
          <w:rFonts w:ascii="Arial" w:hAnsi="Arial" w:cs="Arial"/>
          <w:sz w:val="22"/>
          <w:szCs w:val="22"/>
          <w:lang w:val="en-GB"/>
        </w:rPr>
        <w:t>Finance and Resources Committee</w:t>
      </w:r>
      <w:r w:rsidRPr="004261CD">
        <w:rPr>
          <w:rFonts w:ascii="Arial" w:hAnsi="Arial" w:cs="Arial"/>
          <w:sz w:val="22"/>
          <w:szCs w:val="22"/>
          <w:lang w:val="en-GB"/>
        </w:rPr>
        <w:t xml:space="preserve"> </w:t>
      </w:r>
      <w:r w:rsidR="00485011" w:rsidRPr="004261CD">
        <w:rPr>
          <w:rFonts w:ascii="Arial" w:hAnsi="Arial" w:cs="Arial"/>
          <w:sz w:val="22"/>
          <w:szCs w:val="22"/>
          <w:lang w:val="en-GB"/>
        </w:rPr>
        <w:t xml:space="preserve">the annual treasury management plan for the forthcoming </w:t>
      </w:r>
      <w:bookmarkStart w:id="9" w:name="_Int_4VwFksQu"/>
      <w:r w:rsidR="00485011" w:rsidRPr="004261CD">
        <w:rPr>
          <w:rFonts w:ascii="Arial" w:hAnsi="Arial" w:cs="Arial"/>
          <w:sz w:val="22"/>
          <w:szCs w:val="22"/>
          <w:lang w:val="en-GB"/>
        </w:rPr>
        <w:t>financial year</w:t>
      </w:r>
      <w:bookmarkEnd w:id="9"/>
      <w:r w:rsidR="00485011" w:rsidRPr="004261CD">
        <w:rPr>
          <w:rFonts w:ascii="Arial" w:hAnsi="Arial" w:cs="Arial"/>
          <w:sz w:val="22"/>
          <w:szCs w:val="22"/>
          <w:lang w:val="en-GB"/>
        </w:rPr>
        <w:t>, which is typically the June meeting.</w:t>
      </w:r>
    </w:p>
    <w:p w14:paraId="4E1BC686" w14:textId="77777777" w:rsidR="00E37C3D" w:rsidRPr="00B30017" w:rsidRDefault="00E37C3D" w:rsidP="001D086D">
      <w:pPr>
        <w:ind w:firstLine="284"/>
        <w:rPr>
          <w:rFonts w:ascii="Work Sans" w:hAnsi="Work Sans"/>
          <w:sz w:val="22"/>
          <w:szCs w:val="22"/>
          <w:lang w:val="en-GB"/>
        </w:rPr>
      </w:pPr>
    </w:p>
    <w:p w14:paraId="1A9BDC72" w14:textId="4C5F1D67" w:rsidR="00097363" w:rsidRDefault="00097363" w:rsidP="00EB67D7">
      <w:pPr>
        <w:ind w:left="993"/>
        <w:rPr>
          <w:rFonts w:ascii="Work Sans" w:hAnsi="Work Sans"/>
          <w:sz w:val="22"/>
          <w:szCs w:val="22"/>
          <w:lang w:val="en-GB"/>
        </w:rPr>
      </w:pPr>
    </w:p>
    <w:p w14:paraId="12134944" w14:textId="77777777" w:rsidR="009005AD" w:rsidRDefault="009005AD" w:rsidP="008E07D0">
      <w:pPr>
        <w:ind w:firstLine="284"/>
        <w:rPr>
          <w:rFonts w:ascii="Work Sans" w:hAnsi="Work Sans"/>
          <w:sz w:val="22"/>
          <w:szCs w:val="22"/>
          <w:lang w:val="en-GB"/>
        </w:rPr>
      </w:pPr>
    </w:p>
    <w:p w14:paraId="0AD962B7" w14:textId="77777777" w:rsidR="009005AD" w:rsidRDefault="009005AD" w:rsidP="008E07D0">
      <w:pPr>
        <w:ind w:firstLine="284"/>
        <w:rPr>
          <w:rFonts w:ascii="Work Sans" w:hAnsi="Work Sans"/>
          <w:sz w:val="22"/>
          <w:szCs w:val="22"/>
          <w:lang w:val="en-GB"/>
        </w:rPr>
      </w:pPr>
    </w:p>
    <w:p w14:paraId="47295C6B" w14:textId="77777777" w:rsidR="009005AD" w:rsidRDefault="009005AD" w:rsidP="008E07D0">
      <w:pPr>
        <w:ind w:firstLine="284"/>
        <w:rPr>
          <w:rFonts w:ascii="Work Sans" w:hAnsi="Work Sans"/>
          <w:sz w:val="22"/>
          <w:szCs w:val="22"/>
          <w:lang w:val="en-GB"/>
        </w:rPr>
      </w:pPr>
    </w:p>
    <w:p w14:paraId="10327930" w14:textId="77777777" w:rsidR="009005AD" w:rsidRDefault="009005AD" w:rsidP="008E07D0">
      <w:pPr>
        <w:ind w:firstLine="284"/>
        <w:rPr>
          <w:rFonts w:ascii="Work Sans" w:hAnsi="Work Sans"/>
          <w:sz w:val="22"/>
          <w:szCs w:val="22"/>
          <w:lang w:val="en-GB"/>
        </w:rPr>
      </w:pPr>
    </w:p>
    <w:p w14:paraId="59A760F3" w14:textId="77777777" w:rsidR="009005AD" w:rsidRDefault="009005AD" w:rsidP="008E07D0">
      <w:pPr>
        <w:ind w:firstLine="284"/>
        <w:rPr>
          <w:rFonts w:ascii="Work Sans" w:hAnsi="Work Sans"/>
          <w:sz w:val="22"/>
          <w:szCs w:val="22"/>
          <w:lang w:val="en-GB"/>
        </w:rPr>
      </w:pPr>
    </w:p>
    <w:p w14:paraId="3DF07718" w14:textId="77777777" w:rsidR="009005AD" w:rsidRDefault="009005AD" w:rsidP="008E07D0">
      <w:pPr>
        <w:ind w:firstLine="284"/>
        <w:rPr>
          <w:rFonts w:ascii="Work Sans" w:hAnsi="Work Sans"/>
          <w:sz w:val="22"/>
          <w:szCs w:val="22"/>
          <w:lang w:val="en-GB"/>
        </w:rPr>
      </w:pPr>
    </w:p>
    <w:p w14:paraId="5B265743" w14:textId="77777777" w:rsidR="009005AD" w:rsidRDefault="009005AD" w:rsidP="008E07D0">
      <w:pPr>
        <w:ind w:firstLine="284"/>
        <w:rPr>
          <w:rFonts w:ascii="Work Sans" w:hAnsi="Work Sans"/>
          <w:sz w:val="22"/>
          <w:szCs w:val="22"/>
          <w:lang w:val="en-GB"/>
        </w:rPr>
      </w:pPr>
    </w:p>
    <w:p w14:paraId="7D46108F" w14:textId="77777777" w:rsidR="009005AD" w:rsidRDefault="009005AD" w:rsidP="008E07D0">
      <w:pPr>
        <w:ind w:firstLine="284"/>
        <w:rPr>
          <w:rFonts w:ascii="Work Sans" w:hAnsi="Work Sans"/>
          <w:sz w:val="22"/>
          <w:szCs w:val="22"/>
          <w:lang w:val="en-GB"/>
        </w:rPr>
      </w:pPr>
    </w:p>
    <w:p w14:paraId="7F9AF930" w14:textId="77777777" w:rsidR="009005AD" w:rsidRDefault="009005AD" w:rsidP="008E07D0">
      <w:pPr>
        <w:ind w:firstLine="284"/>
        <w:rPr>
          <w:rFonts w:ascii="Work Sans" w:hAnsi="Work Sans"/>
          <w:sz w:val="22"/>
          <w:szCs w:val="22"/>
          <w:lang w:val="en-GB"/>
        </w:rPr>
      </w:pPr>
    </w:p>
    <w:p w14:paraId="6805A91F" w14:textId="77777777" w:rsidR="009005AD" w:rsidRDefault="009005AD" w:rsidP="008E07D0">
      <w:pPr>
        <w:ind w:firstLine="284"/>
        <w:rPr>
          <w:rFonts w:ascii="Work Sans" w:hAnsi="Work Sans"/>
          <w:sz w:val="22"/>
          <w:szCs w:val="22"/>
          <w:lang w:val="en-GB"/>
        </w:rPr>
      </w:pPr>
    </w:p>
    <w:p w14:paraId="7AC0FF89" w14:textId="77777777" w:rsidR="009005AD" w:rsidRDefault="009005AD" w:rsidP="008E07D0">
      <w:pPr>
        <w:ind w:firstLine="284"/>
        <w:rPr>
          <w:rFonts w:ascii="Work Sans" w:hAnsi="Work Sans"/>
          <w:sz w:val="22"/>
          <w:szCs w:val="22"/>
          <w:lang w:val="en-GB"/>
        </w:rPr>
      </w:pPr>
    </w:p>
    <w:p w14:paraId="2ECB1D83" w14:textId="77777777" w:rsidR="009005AD" w:rsidRDefault="009005AD" w:rsidP="008E07D0">
      <w:pPr>
        <w:ind w:firstLine="284"/>
        <w:rPr>
          <w:rFonts w:ascii="Work Sans" w:hAnsi="Work Sans"/>
          <w:sz w:val="22"/>
          <w:szCs w:val="22"/>
          <w:lang w:val="en-GB"/>
        </w:rPr>
      </w:pPr>
    </w:p>
    <w:p w14:paraId="1876FCEB" w14:textId="77777777" w:rsidR="009005AD" w:rsidRDefault="009005AD" w:rsidP="008E07D0">
      <w:pPr>
        <w:ind w:firstLine="284"/>
        <w:rPr>
          <w:rFonts w:ascii="Work Sans" w:hAnsi="Work Sans"/>
          <w:sz w:val="22"/>
          <w:szCs w:val="22"/>
          <w:lang w:val="en-GB"/>
        </w:rPr>
      </w:pPr>
    </w:p>
    <w:p w14:paraId="73327AA3" w14:textId="77777777" w:rsidR="009005AD" w:rsidRDefault="009005AD" w:rsidP="008E07D0">
      <w:pPr>
        <w:ind w:firstLine="284"/>
        <w:rPr>
          <w:rFonts w:ascii="Work Sans" w:hAnsi="Work Sans"/>
          <w:sz w:val="22"/>
          <w:szCs w:val="22"/>
          <w:lang w:val="en-GB"/>
        </w:rPr>
      </w:pPr>
    </w:p>
    <w:p w14:paraId="60454C9F" w14:textId="77777777" w:rsidR="009005AD" w:rsidRDefault="009005AD" w:rsidP="008E07D0">
      <w:pPr>
        <w:ind w:firstLine="284"/>
        <w:rPr>
          <w:rFonts w:ascii="Work Sans" w:hAnsi="Work Sans"/>
          <w:sz w:val="22"/>
          <w:szCs w:val="22"/>
          <w:lang w:val="en-GB"/>
        </w:rPr>
      </w:pPr>
    </w:p>
    <w:p w14:paraId="5C2FB772" w14:textId="77777777" w:rsidR="009005AD" w:rsidRDefault="009005AD" w:rsidP="008E07D0">
      <w:pPr>
        <w:ind w:firstLine="284"/>
        <w:rPr>
          <w:rFonts w:ascii="Work Sans" w:hAnsi="Work Sans"/>
          <w:sz w:val="22"/>
          <w:szCs w:val="22"/>
          <w:lang w:val="en-GB"/>
        </w:rPr>
      </w:pPr>
    </w:p>
    <w:p w14:paraId="022933CE" w14:textId="77777777" w:rsidR="009005AD" w:rsidRDefault="009005AD" w:rsidP="008E07D0">
      <w:pPr>
        <w:ind w:firstLine="284"/>
        <w:rPr>
          <w:rFonts w:ascii="Work Sans" w:hAnsi="Work Sans"/>
          <w:sz w:val="22"/>
          <w:szCs w:val="22"/>
          <w:lang w:val="en-GB"/>
        </w:rPr>
      </w:pPr>
    </w:p>
    <w:p w14:paraId="375C17E3" w14:textId="77777777" w:rsidR="009005AD" w:rsidRDefault="009005AD" w:rsidP="008E07D0">
      <w:pPr>
        <w:ind w:firstLine="284"/>
        <w:rPr>
          <w:rFonts w:ascii="Work Sans" w:hAnsi="Work Sans"/>
          <w:sz w:val="22"/>
          <w:szCs w:val="22"/>
          <w:lang w:val="en-GB"/>
        </w:rPr>
      </w:pPr>
    </w:p>
    <w:p w14:paraId="41195D6A" w14:textId="77777777" w:rsidR="009005AD" w:rsidRDefault="009005AD" w:rsidP="008E07D0">
      <w:pPr>
        <w:ind w:firstLine="284"/>
        <w:rPr>
          <w:rFonts w:ascii="Work Sans" w:hAnsi="Work Sans"/>
          <w:sz w:val="22"/>
          <w:szCs w:val="22"/>
          <w:lang w:val="en-GB"/>
        </w:rPr>
      </w:pPr>
    </w:p>
    <w:p w14:paraId="4DACC1EB" w14:textId="77777777" w:rsidR="009005AD" w:rsidRDefault="009005AD" w:rsidP="008E07D0">
      <w:pPr>
        <w:ind w:firstLine="284"/>
        <w:rPr>
          <w:rFonts w:ascii="Work Sans" w:hAnsi="Work Sans"/>
          <w:sz w:val="22"/>
          <w:szCs w:val="22"/>
          <w:lang w:val="en-GB"/>
        </w:rPr>
      </w:pPr>
    </w:p>
    <w:p w14:paraId="6BD2E173" w14:textId="77777777" w:rsidR="009005AD" w:rsidRDefault="009005AD" w:rsidP="008E07D0">
      <w:pPr>
        <w:ind w:firstLine="284"/>
        <w:rPr>
          <w:rFonts w:ascii="Work Sans" w:hAnsi="Work Sans"/>
          <w:sz w:val="22"/>
          <w:szCs w:val="22"/>
          <w:lang w:val="en-GB"/>
        </w:rPr>
      </w:pPr>
    </w:p>
    <w:p w14:paraId="610AA75B" w14:textId="77777777" w:rsidR="009005AD" w:rsidRDefault="009005AD" w:rsidP="008E07D0">
      <w:pPr>
        <w:ind w:firstLine="284"/>
        <w:rPr>
          <w:rFonts w:ascii="Work Sans" w:hAnsi="Work Sans"/>
          <w:sz w:val="22"/>
          <w:szCs w:val="22"/>
          <w:lang w:val="en-GB"/>
        </w:rPr>
      </w:pPr>
    </w:p>
    <w:p w14:paraId="7FD4EAA7" w14:textId="77777777" w:rsidR="009005AD" w:rsidRDefault="009005AD" w:rsidP="008E07D0">
      <w:pPr>
        <w:ind w:firstLine="284"/>
        <w:rPr>
          <w:rFonts w:ascii="Work Sans" w:hAnsi="Work Sans"/>
          <w:sz w:val="22"/>
          <w:szCs w:val="22"/>
          <w:lang w:val="en-GB"/>
        </w:rPr>
      </w:pPr>
    </w:p>
    <w:p w14:paraId="53E23963" w14:textId="77777777" w:rsidR="009005AD" w:rsidRDefault="009005AD" w:rsidP="008E07D0">
      <w:pPr>
        <w:ind w:firstLine="284"/>
        <w:rPr>
          <w:rFonts w:ascii="Work Sans" w:hAnsi="Work Sans"/>
          <w:sz w:val="22"/>
          <w:szCs w:val="22"/>
          <w:lang w:val="en-GB"/>
        </w:rPr>
      </w:pPr>
    </w:p>
    <w:p w14:paraId="04B42D72" w14:textId="3223DB5E" w:rsidR="009005AD" w:rsidRPr="00B30017" w:rsidRDefault="009005AD" w:rsidP="00EB67D7">
      <w:pPr>
        <w:rPr>
          <w:rFonts w:ascii="Work Sans" w:hAnsi="Work Sans"/>
          <w:sz w:val="22"/>
          <w:szCs w:val="22"/>
          <w:lang w:val="en-GB"/>
        </w:rPr>
      </w:pPr>
    </w:p>
    <w:sectPr w:rsidR="009005AD" w:rsidRPr="00B30017" w:rsidSect="00B16A15">
      <w:headerReference w:type="even" r:id="rId14"/>
      <w:headerReference w:type="default" r:id="rId15"/>
      <w:footerReference w:type="even" r:id="rId16"/>
      <w:footerReference w:type="default" r:id="rId17"/>
      <w:headerReference w:type="first" r:id="rId18"/>
      <w:footerReference w:type="first" r:id="rId19"/>
      <w:pgSz w:w="11907" w:h="16840" w:code="9"/>
      <w:pgMar w:top="851" w:right="851" w:bottom="1134" w:left="851" w:header="72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DDC0" w14:textId="77777777" w:rsidR="0098225C" w:rsidRDefault="0098225C">
      <w:r>
        <w:separator/>
      </w:r>
    </w:p>
  </w:endnote>
  <w:endnote w:type="continuationSeparator" w:id="0">
    <w:p w14:paraId="1785D8B9" w14:textId="77777777" w:rsidR="0098225C" w:rsidRDefault="0098225C">
      <w:r>
        <w:continuationSeparator/>
      </w:r>
    </w:p>
  </w:endnote>
  <w:endnote w:type="continuationNotice" w:id="1">
    <w:p w14:paraId="69923D90" w14:textId="77777777" w:rsidR="0098225C" w:rsidRDefault="00982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4D"/>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F1FE" w14:textId="77777777" w:rsidR="00A6490D" w:rsidRDefault="00A64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11857"/>
      <w:docPartObj>
        <w:docPartGallery w:val="Page Numbers (Bottom of Page)"/>
        <w:docPartUnique/>
      </w:docPartObj>
    </w:sdtPr>
    <w:sdtEndPr>
      <w:rPr>
        <w:noProof/>
      </w:rPr>
    </w:sdtEndPr>
    <w:sdtContent>
      <w:p w14:paraId="60307A57" w14:textId="444FF64F" w:rsidR="002A4C08" w:rsidRDefault="002A4C08">
        <w:pPr>
          <w:pStyle w:val="Footer"/>
          <w:jc w:val="center"/>
        </w:pPr>
        <w:r>
          <w:fldChar w:fldCharType="begin"/>
        </w:r>
        <w:r>
          <w:instrText xml:space="preserve"> PAGE   \* MERGEFORMAT </w:instrText>
        </w:r>
        <w:r>
          <w:fldChar w:fldCharType="separate"/>
        </w:r>
        <w:r w:rsidR="00B16A15">
          <w:rPr>
            <w:noProof/>
          </w:rPr>
          <w:t>7</w:t>
        </w:r>
        <w:r>
          <w:rPr>
            <w:noProof/>
          </w:rPr>
          <w:fldChar w:fldCharType="end"/>
        </w:r>
      </w:p>
    </w:sdtContent>
  </w:sdt>
  <w:p w14:paraId="37296FD9" w14:textId="3DCD3961" w:rsidR="00F059CF" w:rsidRPr="00B16A15" w:rsidRDefault="00F059CF">
    <w:pPr>
      <w:pStyle w:val="Footer"/>
      <w:rPr>
        <w:rFonts w:ascii="Work Sans" w:hAnsi="Work San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4B7" w14:textId="77777777" w:rsidR="005264C6" w:rsidRDefault="005264C6" w:rsidP="005264C6">
    <w:pPr>
      <w:pStyle w:val="Footer"/>
      <w:jc w:val="center"/>
      <w:rPr>
        <w:rFonts w:ascii="Work Sans" w:hAnsi="Work Sans" w:cstheme="minorHAnsi"/>
      </w:rPr>
    </w:pPr>
  </w:p>
  <w:p w14:paraId="5A03D5AE" w14:textId="7AAE6D49" w:rsidR="005264C6" w:rsidRPr="00B16A15" w:rsidRDefault="005264C6" w:rsidP="005264C6">
    <w:pPr>
      <w:pStyle w:val="Footer"/>
      <w:jc w:val="center"/>
      <w:rPr>
        <w:rFonts w:asciiTheme="minorHAnsi" w:hAnsiTheme="minorHAnsi" w:cstheme="minorHAnsi"/>
        <w:sz w:val="22"/>
        <w:szCs w:val="22"/>
      </w:rPr>
    </w:pPr>
    <w:r w:rsidRPr="00B16A15">
      <w:rPr>
        <w:rFonts w:asciiTheme="minorHAnsi" w:hAnsiTheme="minorHAnsi" w:cstheme="minorHAnsi"/>
        <w:sz w:val="22"/>
        <w:szCs w:val="22"/>
      </w:rPr>
      <w:t>1</w:t>
    </w:r>
  </w:p>
  <w:p w14:paraId="2DEBA025" w14:textId="77777777" w:rsidR="005264C6" w:rsidRDefault="005264C6" w:rsidP="005264C6">
    <w:pPr>
      <w:pStyle w:val="Footer"/>
      <w:jc w:val="center"/>
      <w:rPr>
        <w:rFonts w:ascii="Work Sans" w:hAnsi="Work Sans" w:cstheme="minorHAnsi"/>
      </w:rPr>
    </w:pPr>
  </w:p>
  <w:p w14:paraId="7BF534BB" w14:textId="0A308305" w:rsidR="005264C6" w:rsidRPr="00B16A15" w:rsidRDefault="005264C6" w:rsidP="00B16A15">
    <w:pPr>
      <w:pStyle w:val="Footer"/>
      <w:jc w:val="center"/>
      <w:rPr>
        <w:rFonts w:ascii="Work Sans" w:hAnsi="Work San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F882" w14:textId="77777777" w:rsidR="0098225C" w:rsidRDefault="0098225C">
      <w:r>
        <w:separator/>
      </w:r>
    </w:p>
  </w:footnote>
  <w:footnote w:type="continuationSeparator" w:id="0">
    <w:p w14:paraId="38F3F2B6" w14:textId="77777777" w:rsidR="0098225C" w:rsidRDefault="0098225C">
      <w:r>
        <w:continuationSeparator/>
      </w:r>
    </w:p>
  </w:footnote>
  <w:footnote w:type="continuationNotice" w:id="1">
    <w:p w14:paraId="49FCAB6C" w14:textId="77777777" w:rsidR="0098225C" w:rsidRDefault="00982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B31F" w14:textId="77777777" w:rsidR="00A6490D" w:rsidRDefault="00A64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204" w14:textId="77777777" w:rsidR="00F059CF" w:rsidRDefault="00F059CF" w:rsidP="00B16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73BF" w14:textId="77777777" w:rsidR="00A6490D" w:rsidRDefault="00A6490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bKV2RaG" int2:invalidationBookmarkName="" int2:hashCode="VDvWdq6PS0dMhP" int2:id="zq02BaH3">
      <int2:state int2:value="Rejected" int2:type="AugLoop_Text_Critique"/>
    </int2:bookmark>
    <int2:bookmark int2:bookmarkName="_Int_azlEQ7qX" int2:invalidationBookmarkName="" int2:hashCode="SZ7XbMGkX522l9" int2:id="5Ua1p91e">
      <int2:state int2:value="Rejected" int2:type="AugLoop_Text_Critique"/>
    </int2:bookmark>
    <int2:bookmark int2:bookmarkName="_Int_pUdAeL2R" int2:invalidationBookmarkName="" int2:hashCode="DnZFGL3SXpCGOd" int2:id="7UnG1X0C">
      <int2:state int2:value="Rejected" int2:type="AugLoop_Text_Critique"/>
    </int2:bookmark>
    <int2:bookmark int2:bookmarkName="_Int_4VwFksQu" int2:invalidationBookmarkName="" int2:hashCode="6X/4wpXdfDElP/" int2:id="8zgieR2m">
      <int2:state int2:value="Rejected" int2:type="AugLoop_Text_Critique"/>
    </int2:bookmark>
    <int2:bookmark int2:bookmarkName="_Int_wfR278pG" int2:invalidationBookmarkName="" int2:hashCode="G3BPsVE/TMVfRv" int2:id="CQPvR03E">
      <int2:state int2:value="Rejected" int2:type="AugLoop_Text_Critique"/>
    </int2:bookmark>
    <int2:bookmark int2:bookmarkName="_Int_6ZxD7AQV" int2:invalidationBookmarkName="" int2:hashCode="6bVNq+N7VCJ8bt" int2:id="IlO9WVJs">
      <int2:state int2:value="Rejected" int2:type="AugLoop_Text_Critique"/>
    </int2:bookmark>
    <int2:bookmark int2:bookmarkName="_Int_ex6w4pTh" int2:invalidationBookmarkName="" int2:hashCode="Meaa37KLEW3lx9" int2:id="Q9ihHtn0">
      <int2:state int2:value="Rejected" int2:type="AugLoop_Text_Critique"/>
    </int2:bookmark>
    <int2:bookmark int2:bookmarkName="_Int_NGz29e2m" int2:invalidationBookmarkName="" int2:hashCode="mXjuy0zRNp3p7N" int2:id="X3tYGIb4">
      <int2:state int2:value="Rejected" int2:type="AugLoop_Text_Critique"/>
    </int2:bookmark>
    <int2:bookmark int2:bookmarkName="_Int_8IxNtYZ9" int2:invalidationBookmarkName="" int2:hashCode="SlvE+hGmSisxPm" int2:id="hzRMLPL6">
      <int2:state int2:value="Rejected" int2:type="AugLoop_Text_Critique"/>
    </int2:bookmark>
    <int2:bookmark int2:bookmarkName="_Int_Jn1SNx1l" int2:invalidationBookmarkName="" int2:hashCode="K10F01lLg7ogr7" int2:id="mjFWdj6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4E31"/>
    <w:multiLevelType w:val="hybridMultilevel"/>
    <w:tmpl w:val="723E53C8"/>
    <w:lvl w:ilvl="0" w:tplc="08090001">
      <w:start w:val="1"/>
      <w:numFmt w:val="bullet"/>
      <w:lvlText w:val=""/>
      <w:lvlJc w:val="left"/>
      <w:pPr>
        <w:ind w:left="1395" w:hanging="360"/>
      </w:pPr>
      <w:rPr>
        <w:rFonts w:ascii="Symbol" w:hAnsi="Symbol" w:hint="default"/>
      </w:rPr>
    </w:lvl>
    <w:lvl w:ilvl="1" w:tplc="08090003">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 w15:restartNumberingAfterBreak="0">
    <w:nsid w:val="138B5DC5"/>
    <w:multiLevelType w:val="hybridMultilevel"/>
    <w:tmpl w:val="3738E20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E2D4A8F"/>
    <w:multiLevelType w:val="hybridMultilevel"/>
    <w:tmpl w:val="FC889E60"/>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330B661E"/>
    <w:multiLevelType w:val="hybridMultilevel"/>
    <w:tmpl w:val="B64638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805FC"/>
    <w:multiLevelType w:val="multilevel"/>
    <w:tmpl w:val="755CBDB0"/>
    <w:lvl w:ilvl="0">
      <w:start w:val="1"/>
      <w:numFmt w:val="decimal"/>
      <w:lvlText w:val="%1."/>
      <w:lvlJc w:val="left"/>
      <w:pPr>
        <w:tabs>
          <w:tab w:val="num" w:pos="0"/>
        </w:tabs>
        <w:ind w:left="360" w:hanging="360"/>
      </w:pPr>
      <w:rPr>
        <w:rFonts w:hint="default"/>
      </w:rPr>
    </w:lvl>
    <w:lvl w:ilvl="1">
      <w:start w:val="1"/>
      <w:numFmt w:val="bullet"/>
      <w:lvlText w:val=""/>
      <w:lvlJc w:val="left"/>
      <w:pPr>
        <w:ind w:left="1211"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C8F4CC8"/>
    <w:multiLevelType w:val="multilevel"/>
    <w:tmpl w:val="755CBDB0"/>
    <w:lvl w:ilvl="0">
      <w:start w:val="1"/>
      <w:numFmt w:val="decimal"/>
      <w:lvlText w:val="%1."/>
      <w:lvlJc w:val="left"/>
      <w:pPr>
        <w:tabs>
          <w:tab w:val="num" w:pos="0"/>
        </w:tabs>
        <w:ind w:left="360" w:hanging="360"/>
      </w:pPr>
      <w:rPr>
        <w:rFonts w:hint="default"/>
      </w:rPr>
    </w:lvl>
    <w:lvl w:ilvl="1">
      <w:start w:val="1"/>
      <w:numFmt w:val="bullet"/>
      <w:lvlText w:val=""/>
      <w:lvlJc w:val="left"/>
      <w:pPr>
        <w:ind w:left="1211"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8FA3DD0"/>
    <w:multiLevelType w:val="hybridMultilevel"/>
    <w:tmpl w:val="5100D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2C61F45"/>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71BC0CCE"/>
    <w:multiLevelType w:val="multilevel"/>
    <w:tmpl w:val="755CBDB0"/>
    <w:lvl w:ilvl="0">
      <w:start w:val="1"/>
      <w:numFmt w:val="decimal"/>
      <w:lvlText w:val="%1."/>
      <w:lvlJc w:val="left"/>
      <w:pPr>
        <w:tabs>
          <w:tab w:val="num" w:pos="0"/>
        </w:tabs>
        <w:ind w:left="360" w:hanging="360"/>
      </w:pPr>
      <w:rPr>
        <w:rFonts w:hint="default"/>
      </w:rPr>
    </w:lvl>
    <w:lvl w:ilvl="1">
      <w:start w:val="1"/>
      <w:numFmt w:val="bullet"/>
      <w:lvlText w:val=""/>
      <w:lvlJc w:val="left"/>
      <w:pPr>
        <w:ind w:left="1211"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3C111FF"/>
    <w:multiLevelType w:val="multilevel"/>
    <w:tmpl w:val="755CBDB0"/>
    <w:lvl w:ilvl="0">
      <w:start w:val="1"/>
      <w:numFmt w:val="decimal"/>
      <w:lvlText w:val="%1."/>
      <w:lvlJc w:val="left"/>
      <w:pPr>
        <w:tabs>
          <w:tab w:val="num" w:pos="0"/>
        </w:tabs>
        <w:ind w:left="360" w:hanging="360"/>
      </w:pPr>
      <w:rPr>
        <w:rFonts w:hint="default"/>
      </w:rPr>
    </w:lvl>
    <w:lvl w:ilvl="1">
      <w:start w:val="1"/>
      <w:numFmt w:val="bullet"/>
      <w:lvlText w:val=""/>
      <w:lvlJc w:val="left"/>
      <w:pPr>
        <w:ind w:left="1211"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90F0309"/>
    <w:multiLevelType w:val="multilevel"/>
    <w:tmpl w:val="0B8673D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E02674B"/>
    <w:multiLevelType w:val="hybridMultilevel"/>
    <w:tmpl w:val="E550B4E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2" w15:restartNumberingAfterBreak="0">
    <w:nsid w:val="7FF70162"/>
    <w:multiLevelType w:val="hybridMultilevel"/>
    <w:tmpl w:val="2E9C9252"/>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num w:numId="1" w16cid:durableId="505049122">
    <w:abstractNumId w:val="10"/>
  </w:num>
  <w:num w:numId="2" w16cid:durableId="1354767281">
    <w:abstractNumId w:val="7"/>
  </w:num>
  <w:num w:numId="3" w16cid:durableId="1567304159">
    <w:abstractNumId w:val="6"/>
  </w:num>
  <w:num w:numId="4" w16cid:durableId="3243857">
    <w:abstractNumId w:val="3"/>
  </w:num>
  <w:num w:numId="5" w16cid:durableId="1227377118">
    <w:abstractNumId w:val="12"/>
  </w:num>
  <w:num w:numId="6" w16cid:durableId="704913080">
    <w:abstractNumId w:val="0"/>
  </w:num>
  <w:num w:numId="7" w16cid:durableId="1538662222">
    <w:abstractNumId w:val="2"/>
  </w:num>
  <w:num w:numId="8" w16cid:durableId="1362323443">
    <w:abstractNumId w:val="11"/>
  </w:num>
  <w:num w:numId="9" w16cid:durableId="145098041">
    <w:abstractNumId w:val="1"/>
  </w:num>
  <w:num w:numId="10" w16cid:durableId="1584333811">
    <w:abstractNumId w:val="5"/>
  </w:num>
  <w:num w:numId="11" w16cid:durableId="2093234515">
    <w:abstractNumId w:val="8"/>
  </w:num>
  <w:num w:numId="12" w16cid:durableId="2071684981">
    <w:abstractNumId w:val="4"/>
  </w:num>
  <w:num w:numId="13" w16cid:durableId="11769233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E1"/>
    <w:rsid w:val="000007B1"/>
    <w:rsid w:val="00001CE5"/>
    <w:rsid w:val="000073B7"/>
    <w:rsid w:val="00010D0B"/>
    <w:rsid w:val="00011FE6"/>
    <w:rsid w:val="000156A1"/>
    <w:rsid w:val="000231D3"/>
    <w:rsid w:val="00025ACB"/>
    <w:rsid w:val="0002693D"/>
    <w:rsid w:val="0002708C"/>
    <w:rsid w:val="00030B35"/>
    <w:rsid w:val="00033703"/>
    <w:rsid w:val="00033F29"/>
    <w:rsid w:val="00042878"/>
    <w:rsid w:val="00043CE2"/>
    <w:rsid w:val="000547A1"/>
    <w:rsid w:val="00061ED0"/>
    <w:rsid w:val="0006640C"/>
    <w:rsid w:val="00074D21"/>
    <w:rsid w:val="00074F95"/>
    <w:rsid w:val="00083519"/>
    <w:rsid w:val="00086283"/>
    <w:rsid w:val="00092D12"/>
    <w:rsid w:val="00095AC4"/>
    <w:rsid w:val="00097363"/>
    <w:rsid w:val="000973C4"/>
    <w:rsid w:val="000A6730"/>
    <w:rsid w:val="000B4545"/>
    <w:rsid w:val="000B5682"/>
    <w:rsid w:val="000C6360"/>
    <w:rsid w:val="000D750F"/>
    <w:rsid w:val="000E6156"/>
    <w:rsid w:val="00104586"/>
    <w:rsid w:val="001142D7"/>
    <w:rsid w:val="00116FA2"/>
    <w:rsid w:val="001239D4"/>
    <w:rsid w:val="00123D79"/>
    <w:rsid w:val="001318BD"/>
    <w:rsid w:val="00134D41"/>
    <w:rsid w:val="00136250"/>
    <w:rsid w:val="001362ED"/>
    <w:rsid w:val="00137FB1"/>
    <w:rsid w:val="00140761"/>
    <w:rsid w:val="00140C3B"/>
    <w:rsid w:val="001432DE"/>
    <w:rsid w:val="0014681B"/>
    <w:rsid w:val="00155957"/>
    <w:rsid w:val="0016129F"/>
    <w:rsid w:val="00167962"/>
    <w:rsid w:val="001753A3"/>
    <w:rsid w:val="00181861"/>
    <w:rsid w:val="001853DB"/>
    <w:rsid w:val="001909AD"/>
    <w:rsid w:val="0019615D"/>
    <w:rsid w:val="00197B0D"/>
    <w:rsid w:val="001A0E7C"/>
    <w:rsid w:val="001B1A40"/>
    <w:rsid w:val="001B2010"/>
    <w:rsid w:val="001B4FB0"/>
    <w:rsid w:val="001C233A"/>
    <w:rsid w:val="001C6657"/>
    <w:rsid w:val="001C7E6C"/>
    <w:rsid w:val="001D086D"/>
    <w:rsid w:val="001D2776"/>
    <w:rsid w:val="001D314A"/>
    <w:rsid w:val="001D6532"/>
    <w:rsid w:val="001E0246"/>
    <w:rsid w:val="001E3C59"/>
    <w:rsid w:val="001E6992"/>
    <w:rsid w:val="001F07B2"/>
    <w:rsid w:val="001F32BA"/>
    <w:rsid w:val="001F4379"/>
    <w:rsid w:val="001F4AFB"/>
    <w:rsid w:val="001F7936"/>
    <w:rsid w:val="00204128"/>
    <w:rsid w:val="00213AD8"/>
    <w:rsid w:val="00224914"/>
    <w:rsid w:val="002260CC"/>
    <w:rsid w:val="002334B9"/>
    <w:rsid w:val="00233C2A"/>
    <w:rsid w:val="00234B8F"/>
    <w:rsid w:val="00235E74"/>
    <w:rsid w:val="00241153"/>
    <w:rsid w:val="002417AD"/>
    <w:rsid w:val="00252C0A"/>
    <w:rsid w:val="00255122"/>
    <w:rsid w:val="002555FA"/>
    <w:rsid w:val="00264F58"/>
    <w:rsid w:val="00273D0A"/>
    <w:rsid w:val="00281131"/>
    <w:rsid w:val="00283377"/>
    <w:rsid w:val="00285014"/>
    <w:rsid w:val="002923BD"/>
    <w:rsid w:val="002A409A"/>
    <w:rsid w:val="002A4C08"/>
    <w:rsid w:val="002A58F9"/>
    <w:rsid w:val="002A6116"/>
    <w:rsid w:val="002B2186"/>
    <w:rsid w:val="002B5FD6"/>
    <w:rsid w:val="002B73E7"/>
    <w:rsid w:val="002C15E0"/>
    <w:rsid w:val="002C2B35"/>
    <w:rsid w:val="002C74DA"/>
    <w:rsid w:val="002C7DE6"/>
    <w:rsid w:val="002D16F5"/>
    <w:rsid w:val="002D406B"/>
    <w:rsid w:val="002D587D"/>
    <w:rsid w:val="00301853"/>
    <w:rsid w:val="00303463"/>
    <w:rsid w:val="0030350C"/>
    <w:rsid w:val="003117B9"/>
    <w:rsid w:val="003154C3"/>
    <w:rsid w:val="003222D8"/>
    <w:rsid w:val="00322363"/>
    <w:rsid w:val="00333571"/>
    <w:rsid w:val="00333DAA"/>
    <w:rsid w:val="0033504D"/>
    <w:rsid w:val="003371CC"/>
    <w:rsid w:val="00340015"/>
    <w:rsid w:val="00343751"/>
    <w:rsid w:val="00343889"/>
    <w:rsid w:val="00347905"/>
    <w:rsid w:val="00351F0F"/>
    <w:rsid w:val="00354F1D"/>
    <w:rsid w:val="00360EA0"/>
    <w:rsid w:val="003630AB"/>
    <w:rsid w:val="00363C4F"/>
    <w:rsid w:val="003656E2"/>
    <w:rsid w:val="0037113D"/>
    <w:rsid w:val="00373AF9"/>
    <w:rsid w:val="00373EB6"/>
    <w:rsid w:val="00374669"/>
    <w:rsid w:val="00376336"/>
    <w:rsid w:val="00380CF0"/>
    <w:rsid w:val="0038505A"/>
    <w:rsid w:val="00385F91"/>
    <w:rsid w:val="003931A8"/>
    <w:rsid w:val="00394C1B"/>
    <w:rsid w:val="003950EC"/>
    <w:rsid w:val="00397210"/>
    <w:rsid w:val="003A2DB8"/>
    <w:rsid w:val="003A573F"/>
    <w:rsid w:val="003B4C2F"/>
    <w:rsid w:val="003C0EB7"/>
    <w:rsid w:val="003C353B"/>
    <w:rsid w:val="003C381D"/>
    <w:rsid w:val="003C4438"/>
    <w:rsid w:val="003D5A60"/>
    <w:rsid w:val="003D67FA"/>
    <w:rsid w:val="003E1075"/>
    <w:rsid w:val="003E3394"/>
    <w:rsid w:val="003E6B13"/>
    <w:rsid w:val="003F03D3"/>
    <w:rsid w:val="003F1999"/>
    <w:rsid w:val="003F372B"/>
    <w:rsid w:val="00400132"/>
    <w:rsid w:val="004133E0"/>
    <w:rsid w:val="00422E4F"/>
    <w:rsid w:val="00423C07"/>
    <w:rsid w:val="00423E89"/>
    <w:rsid w:val="004261CD"/>
    <w:rsid w:val="0043511C"/>
    <w:rsid w:val="004512D2"/>
    <w:rsid w:val="00452C74"/>
    <w:rsid w:val="00457D53"/>
    <w:rsid w:val="004614AA"/>
    <w:rsid w:val="004725E2"/>
    <w:rsid w:val="004726E0"/>
    <w:rsid w:val="00475111"/>
    <w:rsid w:val="00476DE4"/>
    <w:rsid w:val="0047785E"/>
    <w:rsid w:val="0048003A"/>
    <w:rsid w:val="00485011"/>
    <w:rsid w:val="00486087"/>
    <w:rsid w:val="00492FC0"/>
    <w:rsid w:val="004A0670"/>
    <w:rsid w:val="004A2AE0"/>
    <w:rsid w:val="004A6042"/>
    <w:rsid w:val="004B5437"/>
    <w:rsid w:val="004C3AAA"/>
    <w:rsid w:val="004C452B"/>
    <w:rsid w:val="004C46E7"/>
    <w:rsid w:val="004D3979"/>
    <w:rsid w:val="004D464D"/>
    <w:rsid w:val="004E0B21"/>
    <w:rsid w:val="004E17B8"/>
    <w:rsid w:val="004E2495"/>
    <w:rsid w:val="004E4E75"/>
    <w:rsid w:val="004F527C"/>
    <w:rsid w:val="00500465"/>
    <w:rsid w:val="005016B6"/>
    <w:rsid w:val="00513060"/>
    <w:rsid w:val="0052226B"/>
    <w:rsid w:val="00522BF5"/>
    <w:rsid w:val="00522E14"/>
    <w:rsid w:val="005247E2"/>
    <w:rsid w:val="00525A97"/>
    <w:rsid w:val="00526400"/>
    <w:rsid w:val="005264C6"/>
    <w:rsid w:val="005359A3"/>
    <w:rsid w:val="00537206"/>
    <w:rsid w:val="00543F9C"/>
    <w:rsid w:val="00554CA6"/>
    <w:rsid w:val="00555508"/>
    <w:rsid w:val="00563E77"/>
    <w:rsid w:val="005649F9"/>
    <w:rsid w:val="00564A93"/>
    <w:rsid w:val="00565138"/>
    <w:rsid w:val="00567AAF"/>
    <w:rsid w:val="00580073"/>
    <w:rsid w:val="005862C6"/>
    <w:rsid w:val="005920AF"/>
    <w:rsid w:val="00592880"/>
    <w:rsid w:val="00592EF8"/>
    <w:rsid w:val="00597044"/>
    <w:rsid w:val="005977A4"/>
    <w:rsid w:val="005A184D"/>
    <w:rsid w:val="005A3547"/>
    <w:rsid w:val="005A38B8"/>
    <w:rsid w:val="005B3E08"/>
    <w:rsid w:val="005B7D88"/>
    <w:rsid w:val="005C0E80"/>
    <w:rsid w:val="005C1516"/>
    <w:rsid w:val="005C7367"/>
    <w:rsid w:val="005C7E99"/>
    <w:rsid w:val="005E2BED"/>
    <w:rsid w:val="005E365D"/>
    <w:rsid w:val="005E79CD"/>
    <w:rsid w:val="005F1D26"/>
    <w:rsid w:val="005F5A61"/>
    <w:rsid w:val="005F701C"/>
    <w:rsid w:val="00610C84"/>
    <w:rsid w:val="00611509"/>
    <w:rsid w:val="00614073"/>
    <w:rsid w:val="00616ECF"/>
    <w:rsid w:val="00617AD4"/>
    <w:rsid w:val="00620114"/>
    <w:rsid w:val="006203A8"/>
    <w:rsid w:val="00622E56"/>
    <w:rsid w:val="00630E83"/>
    <w:rsid w:val="00635093"/>
    <w:rsid w:val="00635F82"/>
    <w:rsid w:val="00636CAC"/>
    <w:rsid w:val="00636F63"/>
    <w:rsid w:val="006376CB"/>
    <w:rsid w:val="006427F1"/>
    <w:rsid w:val="00644034"/>
    <w:rsid w:val="0064545A"/>
    <w:rsid w:val="00652BF3"/>
    <w:rsid w:val="00655920"/>
    <w:rsid w:val="00656D52"/>
    <w:rsid w:val="00670189"/>
    <w:rsid w:val="00671CBC"/>
    <w:rsid w:val="00682414"/>
    <w:rsid w:val="006A2E68"/>
    <w:rsid w:val="006C7370"/>
    <w:rsid w:val="006D2D27"/>
    <w:rsid w:val="006D609A"/>
    <w:rsid w:val="006D7D05"/>
    <w:rsid w:val="006E1552"/>
    <w:rsid w:val="006E19B6"/>
    <w:rsid w:val="006E1B1B"/>
    <w:rsid w:val="006E6B4C"/>
    <w:rsid w:val="006F06E5"/>
    <w:rsid w:val="006F0F61"/>
    <w:rsid w:val="006F26CF"/>
    <w:rsid w:val="006F2929"/>
    <w:rsid w:val="006F3888"/>
    <w:rsid w:val="006F619D"/>
    <w:rsid w:val="006F61DD"/>
    <w:rsid w:val="006F7D64"/>
    <w:rsid w:val="00702FDC"/>
    <w:rsid w:val="00704ECE"/>
    <w:rsid w:val="0070790F"/>
    <w:rsid w:val="00720921"/>
    <w:rsid w:val="00721B47"/>
    <w:rsid w:val="0072362D"/>
    <w:rsid w:val="007269F4"/>
    <w:rsid w:val="00737181"/>
    <w:rsid w:val="0075196B"/>
    <w:rsid w:val="00753ACC"/>
    <w:rsid w:val="00756C45"/>
    <w:rsid w:val="00761350"/>
    <w:rsid w:val="00764549"/>
    <w:rsid w:val="00772FDF"/>
    <w:rsid w:val="00773E0B"/>
    <w:rsid w:val="0077785D"/>
    <w:rsid w:val="0078090C"/>
    <w:rsid w:val="007814F0"/>
    <w:rsid w:val="00784F9E"/>
    <w:rsid w:val="007866E6"/>
    <w:rsid w:val="00792BCE"/>
    <w:rsid w:val="00795B5C"/>
    <w:rsid w:val="007965B6"/>
    <w:rsid w:val="007B66F7"/>
    <w:rsid w:val="007B7CA5"/>
    <w:rsid w:val="007C2B6C"/>
    <w:rsid w:val="007C4801"/>
    <w:rsid w:val="007C4853"/>
    <w:rsid w:val="007D027A"/>
    <w:rsid w:val="007D1899"/>
    <w:rsid w:val="007D5925"/>
    <w:rsid w:val="007D70DA"/>
    <w:rsid w:val="007D7DB2"/>
    <w:rsid w:val="007E1E10"/>
    <w:rsid w:val="007E3D9B"/>
    <w:rsid w:val="007F27E8"/>
    <w:rsid w:val="007F5473"/>
    <w:rsid w:val="00803FD3"/>
    <w:rsid w:val="008045F9"/>
    <w:rsid w:val="008070FC"/>
    <w:rsid w:val="008108AA"/>
    <w:rsid w:val="00811648"/>
    <w:rsid w:val="00817067"/>
    <w:rsid w:val="0082372C"/>
    <w:rsid w:val="00825220"/>
    <w:rsid w:val="00827925"/>
    <w:rsid w:val="008306AC"/>
    <w:rsid w:val="00835471"/>
    <w:rsid w:val="008365BE"/>
    <w:rsid w:val="00836644"/>
    <w:rsid w:val="00841831"/>
    <w:rsid w:val="00843845"/>
    <w:rsid w:val="0085231D"/>
    <w:rsid w:val="008605A2"/>
    <w:rsid w:val="0086271B"/>
    <w:rsid w:val="00863434"/>
    <w:rsid w:val="008803E2"/>
    <w:rsid w:val="00882C40"/>
    <w:rsid w:val="008862DC"/>
    <w:rsid w:val="008908A7"/>
    <w:rsid w:val="008932A3"/>
    <w:rsid w:val="0089711D"/>
    <w:rsid w:val="00897379"/>
    <w:rsid w:val="008A75DF"/>
    <w:rsid w:val="008B000C"/>
    <w:rsid w:val="008B7764"/>
    <w:rsid w:val="008C0D75"/>
    <w:rsid w:val="008C23F1"/>
    <w:rsid w:val="008C3F51"/>
    <w:rsid w:val="008C43C5"/>
    <w:rsid w:val="008C75FF"/>
    <w:rsid w:val="008E07D0"/>
    <w:rsid w:val="008E16E7"/>
    <w:rsid w:val="008E1A6C"/>
    <w:rsid w:val="008E24C5"/>
    <w:rsid w:val="008E3DCA"/>
    <w:rsid w:val="008E50B2"/>
    <w:rsid w:val="008E7181"/>
    <w:rsid w:val="008E71F4"/>
    <w:rsid w:val="008E7E0D"/>
    <w:rsid w:val="008F03F3"/>
    <w:rsid w:val="009005AD"/>
    <w:rsid w:val="00900E7F"/>
    <w:rsid w:val="00906EDD"/>
    <w:rsid w:val="00912D08"/>
    <w:rsid w:val="009152A3"/>
    <w:rsid w:val="00915DAC"/>
    <w:rsid w:val="009202C1"/>
    <w:rsid w:val="00920CC1"/>
    <w:rsid w:val="009217B7"/>
    <w:rsid w:val="009234FB"/>
    <w:rsid w:val="009254E7"/>
    <w:rsid w:val="0093637E"/>
    <w:rsid w:val="00936A88"/>
    <w:rsid w:val="00952426"/>
    <w:rsid w:val="009536B4"/>
    <w:rsid w:val="0095693E"/>
    <w:rsid w:val="00956F29"/>
    <w:rsid w:val="009643E5"/>
    <w:rsid w:val="00966C49"/>
    <w:rsid w:val="00971958"/>
    <w:rsid w:val="0097368C"/>
    <w:rsid w:val="00976E00"/>
    <w:rsid w:val="0097738F"/>
    <w:rsid w:val="0098225C"/>
    <w:rsid w:val="00985176"/>
    <w:rsid w:val="0098713D"/>
    <w:rsid w:val="00995438"/>
    <w:rsid w:val="00995586"/>
    <w:rsid w:val="009A533D"/>
    <w:rsid w:val="009B4C7F"/>
    <w:rsid w:val="009B4D17"/>
    <w:rsid w:val="009C47EE"/>
    <w:rsid w:val="009D40DF"/>
    <w:rsid w:val="009D484D"/>
    <w:rsid w:val="009D624E"/>
    <w:rsid w:val="009D655B"/>
    <w:rsid w:val="009D7192"/>
    <w:rsid w:val="009E3285"/>
    <w:rsid w:val="009E78B3"/>
    <w:rsid w:val="009F28F7"/>
    <w:rsid w:val="009F3950"/>
    <w:rsid w:val="009F39AF"/>
    <w:rsid w:val="009F4055"/>
    <w:rsid w:val="009F6E0C"/>
    <w:rsid w:val="009F6EB4"/>
    <w:rsid w:val="00A03FAF"/>
    <w:rsid w:val="00A05E59"/>
    <w:rsid w:val="00A06232"/>
    <w:rsid w:val="00A107BB"/>
    <w:rsid w:val="00A108EE"/>
    <w:rsid w:val="00A247EE"/>
    <w:rsid w:val="00A26E7C"/>
    <w:rsid w:val="00A36196"/>
    <w:rsid w:val="00A36B63"/>
    <w:rsid w:val="00A4485A"/>
    <w:rsid w:val="00A50274"/>
    <w:rsid w:val="00A526CB"/>
    <w:rsid w:val="00A6490D"/>
    <w:rsid w:val="00A70323"/>
    <w:rsid w:val="00A71A04"/>
    <w:rsid w:val="00A76CDE"/>
    <w:rsid w:val="00A82BA5"/>
    <w:rsid w:val="00A83C93"/>
    <w:rsid w:val="00A86622"/>
    <w:rsid w:val="00A878F4"/>
    <w:rsid w:val="00A93DA0"/>
    <w:rsid w:val="00A94D31"/>
    <w:rsid w:val="00A9777C"/>
    <w:rsid w:val="00AB1036"/>
    <w:rsid w:val="00AB4414"/>
    <w:rsid w:val="00AB7ED0"/>
    <w:rsid w:val="00AC1021"/>
    <w:rsid w:val="00AC1CCB"/>
    <w:rsid w:val="00AC2536"/>
    <w:rsid w:val="00AD105E"/>
    <w:rsid w:val="00AD34F1"/>
    <w:rsid w:val="00AD3A3A"/>
    <w:rsid w:val="00AD49D8"/>
    <w:rsid w:val="00AE0CA5"/>
    <w:rsid w:val="00AE589E"/>
    <w:rsid w:val="00AE6A56"/>
    <w:rsid w:val="00AF34C2"/>
    <w:rsid w:val="00AF5608"/>
    <w:rsid w:val="00B01E30"/>
    <w:rsid w:val="00B0223B"/>
    <w:rsid w:val="00B0303F"/>
    <w:rsid w:val="00B03ABE"/>
    <w:rsid w:val="00B04078"/>
    <w:rsid w:val="00B110A3"/>
    <w:rsid w:val="00B1415E"/>
    <w:rsid w:val="00B14708"/>
    <w:rsid w:val="00B15498"/>
    <w:rsid w:val="00B16A15"/>
    <w:rsid w:val="00B248CD"/>
    <w:rsid w:val="00B261E1"/>
    <w:rsid w:val="00B26D00"/>
    <w:rsid w:val="00B30017"/>
    <w:rsid w:val="00B30512"/>
    <w:rsid w:val="00B33534"/>
    <w:rsid w:val="00B37694"/>
    <w:rsid w:val="00B4374B"/>
    <w:rsid w:val="00B56298"/>
    <w:rsid w:val="00B57012"/>
    <w:rsid w:val="00B61799"/>
    <w:rsid w:val="00B62DDE"/>
    <w:rsid w:val="00B70E83"/>
    <w:rsid w:val="00B7528D"/>
    <w:rsid w:val="00B811D7"/>
    <w:rsid w:val="00B83097"/>
    <w:rsid w:val="00B84065"/>
    <w:rsid w:val="00B860F1"/>
    <w:rsid w:val="00BA30F3"/>
    <w:rsid w:val="00BA337F"/>
    <w:rsid w:val="00BB4990"/>
    <w:rsid w:val="00BB6790"/>
    <w:rsid w:val="00BB749D"/>
    <w:rsid w:val="00BC4D4C"/>
    <w:rsid w:val="00BD0F0E"/>
    <w:rsid w:val="00BD1FCB"/>
    <w:rsid w:val="00BD3BC6"/>
    <w:rsid w:val="00BD4E69"/>
    <w:rsid w:val="00BD6BF6"/>
    <w:rsid w:val="00BE4531"/>
    <w:rsid w:val="00BE6BCA"/>
    <w:rsid w:val="00BE70E4"/>
    <w:rsid w:val="00BF5805"/>
    <w:rsid w:val="00BF6F0F"/>
    <w:rsid w:val="00BF6F3C"/>
    <w:rsid w:val="00BF741D"/>
    <w:rsid w:val="00C043FC"/>
    <w:rsid w:val="00C10242"/>
    <w:rsid w:val="00C16189"/>
    <w:rsid w:val="00C1619D"/>
    <w:rsid w:val="00C16368"/>
    <w:rsid w:val="00C2018A"/>
    <w:rsid w:val="00C47063"/>
    <w:rsid w:val="00C540DC"/>
    <w:rsid w:val="00C57F8B"/>
    <w:rsid w:val="00C60917"/>
    <w:rsid w:val="00C8454F"/>
    <w:rsid w:val="00C93BEF"/>
    <w:rsid w:val="00C97FA8"/>
    <w:rsid w:val="00CA121E"/>
    <w:rsid w:val="00CA2AE8"/>
    <w:rsid w:val="00CA33AF"/>
    <w:rsid w:val="00CA6B45"/>
    <w:rsid w:val="00CA7E52"/>
    <w:rsid w:val="00CB585E"/>
    <w:rsid w:val="00CB68F1"/>
    <w:rsid w:val="00CC06CE"/>
    <w:rsid w:val="00CC6BE7"/>
    <w:rsid w:val="00CC7F3A"/>
    <w:rsid w:val="00CD215F"/>
    <w:rsid w:val="00CD7FED"/>
    <w:rsid w:val="00CE6358"/>
    <w:rsid w:val="00CF12FB"/>
    <w:rsid w:val="00CF1680"/>
    <w:rsid w:val="00CF537F"/>
    <w:rsid w:val="00CF5902"/>
    <w:rsid w:val="00CF7C11"/>
    <w:rsid w:val="00D01376"/>
    <w:rsid w:val="00D01A60"/>
    <w:rsid w:val="00D01E4D"/>
    <w:rsid w:val="00D06979"/>
    <w:rsid w:val="00D21F8C"/>
    <w:rsid w:val="00D238BB"/>
    <w:rsid w:val="00D27A36"/>
    <w:rsid w:val="00D4000C"/>
    <w:rsid w:val="00D43D14"/>
    <w:rsid w:val="00D56914"/>
    <w:rsid w:val="00D66AF9"/>
    <w:rsid w:val="00D72066"/>
    <w:rsid w:val="00D72647"/>
    <w:rsid w:val="00D735E0"/>
    <w:rsid w:val="00D770EB"/>
    <w:rsid w:val="00D80CCA"/>
    <w:rsid w:val="00D8758A"/>
    <w:rsid w:val="00D92DDF"/>
    <w:rsid w:val="00D93DBD"/>
    <w:rsid w:val="00D95ADF"/>
    <w:rsid w:val="00DA170C"/>
    <w:rsid w:val="00DA7045"/>
    <w:rsid w:val="00DA70E5"/>
    <w:rsid w:val="00DA7590"/>
    <w:rsid w:val="00DB2B9A"/>
    <w:rsid w:val="00DC3CFA"/>
    <w:rsid w:val="00DC4DC4"/>
    <w:rsid w:val="00DD7194"/>
    <w:rsid w:val="00DE168D"/>
    <w:rsid w:val="00DE6C82"/>
    <w:rsid w:val="00DF586A"/>
    <w:rsid w:val="00DF7B48"/>
    <w:rsid w:val="00DF7C4D"/>
    <w:rsid w:val="00E03E92"/>
    <w:rsid w:val="00E1433B"/>
    <w:rsid w:val="00E20440"/>
    <w:rsid w:val="00E217E9"/>
    <w:rsid w:val="00E23B5A"/>
    <w:rsid w:val="00E246D6"/>
    <w:rsid w:val="00E37C3D"/>
    <w:rsid w:val="00E43803"/>
    <w:rsid w:val="00E440E5"/>
    <w:rsid w:val="00E540A1"/>
    <w:rsid w:val="00E56DF0"/>
    <w:rsid w:val="00E734D6"/>
    <w:rsid w:val="00E737C0"/>
    <w:rsid w:val="00E747B0"/>
    <w:rsid w:val="00E74D08"/>
    <w:rsid w:val="00E76033"/>
    <w:rsid w:val="00E76B25"/>
    <w:rsid w:val="00E8272B"/>
    <w:rsid w:val="00E841EB"/>
    <w:rsid w:val="00E86BFA"/>
    <w:rsid w:val="00E90958"/>
    <w:rsid w:val="00E9570B"/>
    <w:rsid w:val="00E96892"/>
    <w:rsid w:val="00E977FE"/>
    <w:rsid w:val="00EA1019"/>
    <w:rsid w:val="00EA60B6"/>
    <w:rsid w:val="00EB3722"/>
    <w:rsid w:val="00EB3D1A"/>
    <w:rsid w:val="00EB659B"/>
    <w:rsid w:val="00EB67D7"/>
    <w:rsid w:val="00EC138E"/>
    <w:rsid w:val="00EC4C1A"/>
    <w:rsid w:val="00ED4863"/>
    <w:rsid w:val="00EF0217"/>
    <w:rsid w:val="00EF0469"/>
    <w:rsid w:val="00EF4A59"/>
    <w:rsid w:val="00EF7BF4"/>
    <w:rsid w:val="00F016F7"/>
    <w:rsid w:val="00F04741"/>
    <w:rsid w:val="00F059CF"/>
    <w:rsid w:val="00F06440"/>
    <w:rsid w:val="00F1238E"/>
    <w:rsid w:val="00F14CDB"/>
    <w:rsid w:val="00F16293"/>
    <w:rsid w:val="00F20750"/>
    <w:rsid w:val="00F20B55"/>
    <w:rsid w:val="00F22EEE"/>
    <w:rsid w:val="00F23D76"/>
    <w:rsid w:val="00F27AA2"/>
    <w:rsid w:val="00F36E4E"/>
    <w:rsid w:val="00F43ACD"/>
    <w:rsid w:val="00F45B19"/>
    <w:rsid w:val="00F47E6F"/>
    <w:rsid w:val="00F5017F"/>
    <w:rsid w:val="00F56981"/>
    <w:rsid w:val="00F56FDA"/>
    <w:rsid w:val="00F574D0"/>
    <w:rsid w:val="00F63011"/>
    <w:rsid w:val="00F650C0"/>
    <w:rsid w:val="00F67110"/>
    <w:rsid w:val="00F71592"/>
    <w:rsid w:val="00F751CF"/>
    <w:rsid w:val="00F77A5A"/>
    <w:rsid w:val="00F77C7F"/>
    <w:rsid w:val="00F77DBC"/>
    <w:rsid w:val="00F818E3"/>
    <w:rsid w:val="00F825C9"/>
    <w:rsid w:val="00F83B55"/>
    <w:rsid w:val="00F9070A"/>
    <w:rsid w:val="00F921C0"/>
    <w:rsid w:val="00F925FF"/>
    <w:rsid w:val="00F96078"/>
    <w:rsid w:val="00F96F22"/>
    <w:rsid w:val="00F97EE2"/>
    <w:rsid w:val="00FA4D13"/>
    <w:rsid w:val="00FB2E68"/>
    <w:rsid w:val="00FC0E98"/>
    <w:rsid w:val="00FC18C5"/>
    <w:rsid w:val="00FC32DA"/>
    <w:rsid w:val="00FC6B52"/>
    <w:rsid w:val="00FE0352"/>
    <w:rsid w:val="00FE0744"/>
    <w:rsid w:val="00FE2659"/>
    <w:rsid w:val="00FE38CC"/>
    <w:rsid w:val="00FF0C80"/>
    <w:rsid w:val="00FF1E88"/>
    <w:rsid w:val="00FF6EB2"/>
    <w:rsid w:val="0328543F"/>
    <w:rsid w:val="0475C1FA"/>
    <w:rsid w:val="04E14811"/>
    <w:rsid w:val="05E47F73"/>
    <w:rsid w:val="07EC1E22"/>
    <w:rsid w:val="08549489"/>
    <w:rsid w:val="08B1F871"/>
    <w:rsid w:val="0D98AEEC"/>
    <w:rsid w:val="0F7C84C2"/>
    <w:rsid w:val="103AC535"/>
    <w:rsid w:val="13BE4D52"/>
    <w:rsid w:val="13DCD284"/>
    <w:rsid w:val="155C16EC"/>
    <w:rsid w:val="15B4B02F"/>
    <w:rsid w:val="15FA7167"/>
    <w:rsid w:val="176F05C2"/>
    <w:rsid w:val="183D2046"/>
    <w:rsid w:val="1890C256"/>
    <w:rsid w:val="1A1AD016"/>
    <w:rsid w:val="1AA57794"/>
    <w:rsid w:val="1D6A65B0"/>
    <w:rsid w:val="1DC8ABB9"/>
    <w:rsid w:val="1DD2B8A2"/>
    <w:rsid w:val="1E26AEE9"/>
    <w:rsid w:val="1E780F35"/>
    <w:rsid w:val="220A4273"/>
    <w:rsid w:val="24D6DF30"/>
    <w:rsid w:val="2512EC7A"/>
    <w:rsid w:val="260B9571"/>
    <w:rsid w:val="261DDE91"/>
    <w:rsid w:val="26AE5834"/>
    <w:rsid w:val="26CEA3CE"/>
    <w:rsid w:val="2A93677D"/>
    <w:rsid w:val="2AFAA8D0"/>
    <w:rsid w:val="2B7E3DAC"/>
    <w:rsid w:val="2D3D4DDA"/>
    <w:rsid w:val="2DDEFA1E"/>
    <w:rsid w:val="2E27E6E2"/>
    <w:rsid w:val="2E8613A3"/>
    <w:rsid w:val="2F602272"/>
    <w:rsid w:val="3022E2B3"/>
    <w:rsid w:val="30D837EC"/>
    <w:rsid w:val="355511A7"/>
    <w:rsid w:val="35B92540"/>
    <w:rsid w:val="39A4D20F"/>
    <w:rsid w:val="3A5994D3"/>
    <w:rsid w:val="3B9F77C9"/>
    <w:rsid w:val="3C83F55F"/>
    <w:rsid w:val="3CED32FC"/>
    <w:rsid w:val="3E55C557"/>
    <w:rsid w:val="3E6586F8"/>
    <w:rsid w:val="3F027FB2"/>
    <w:rsid w:val="3F615A6B"/>
    <w:rsid w:val="402748F3"/>
    <w:rsid w:val="4088B486"/>
    <w:rsid w:val="4267B56E"/>
    <w:rsid w:val="44D30214"/>
    <w:rsid w:val="44E90248"/>
    <w:rsid w:val="4839F515"/>
    <w:rsid w:val="4887CBBB"/>
    <w:rsid w:val="48B2E315"/>
    <w:rsid w:val="499DBC63"/>
    <w:rsid w:val="4A6CA130"/>
    <w:rsid w:val="4AB5F4C1"/>
    <w:rsid w:val="4AFC1DB9"/>
    <w:rsid w:val="4C1818D1"/>
    <w:rsid w:val="4D509FE2"/>
    <w:rsid w:val="4F1AB50D"/>
    <w:rsid w:val="4F638EB8"/>
    <w:rsid w:val="4F7CB715"/>
    <w:rsid w:val="502880EC"/>
    <w:rsid w:val="50558D30"/>
    <w:rsid w:val="51D70B9B"/>
    <w:rsid w:val="52510E87"/>
    <w:rsid w:val="537DB9BE"/>
    <w:rsid w:val="53D6473C"/>
    <w:rsid w:val="5506BF80"/>
    <w:rsid w:val="5515BEB9"/>
    <w:rsid w:val="595DFF26"/>
    <w:rsid w:val="5AAF2B04"/>
    <w:rsid w:val="5BB29537"/>
    <w:rsid w:val="5CB0C307"/>
    <w:rsid w:val="63880B36"/>
    <w:rsid w:val="6498A659"/>
    <w:rsid w:val="650441D6"/>
    <w:rsid w:val="67F092B5"/>
    <w:rsid w:val="6F4325A3"/>
    <w:rsid w:val="6F6A2ED8"/>
    <w:rsid w:val="75942D36"/>
    <w:rsid w:val="76DA7CAF"/>
    <w:rsid w:val="76DC4317"/>
    <w:rsid w:val="78A34A92"/>
    <w:rsid w:val="7BF24D49"/>
    <w:rsid w:val="7EA81F89"/>
    <w:rsid w:val="7F21E7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027BF"/>
  <w15:docId w15:val="{4AE4703B-9411-40C6-85B6-19E73192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EF8"/>
    <w:rPr>
      <w:sz w:val="24"/>
      <w:szCs w:val="24"/>
      <w:lang w:val="en-US" w:eastAsia="en-US"/>
    </w:rPr>
  </w:style>
  <w:style w:type="paragraph" w:styleId="Heading1">
    <w:name w:val="heading 1"/>
    <w:basedOn w:val="Normal"/>
    <w:next w:val="Normal"/>
    <w:qFormat/>
    <w:rsid w:val="00123D79"/>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23D79"/>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123D79"/>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123D79"/>
    <w:pPr>
      <w:keepNext/>
      <w:numPr>
        <w:ilvl w:val="3"/>
        <w:numId w:val="2"/>
      </w:numPr>
      <w:spacing w:before="240" w:after="60"/>
      <w:outlineLvl w:val="3"/>
    </w:pPr>
    <w:rPr>
      <w:b/>
      <w:bCs/>
      <w:sz w:val="28"/>
      <w:szCs w:val="28"/>
    </w:rPr>
  </w:style>
  <w:style w:type="paragraph" w:styleId="Heading5">
    <w:name w:val="heading 5"/>
    <w:basedOn w:val="Normal"/>
    <w:next w:val="Normal"/>
    <w:qFormat/>
    <w:rsid w:val="00123D79"/>
    <w:pPr>
      <w:numPr>
        <w:ilvl w:val="4"/>
        <w:numId w:val="2"/>
      </w:numPr>
      <w:spacing w:before="240" w:after="60"/>
      <w:outlineLvl w:val="4"/>
    </w:pPr>
    <w:rPr>
      <w:b/>
      <w:bCs/>
      <w:i/>
      <w:iCs/>
      <w:sz w:val="26"/>
      <w:szCs w:val="26"/>
    </w:rPr>
  </w:style>
  <w:style w:type="paragraph" w:styleId="Heading6">
    <w:name w:val="heading 6"/>
    <w:basedOn w:val="Normal"/>
    <w:next w:val="Normal"/>
    <w:qFormat/>
    <w:rsid w:val="00123D79"/>
    <w:pPr>
      <w:numPr>
        <w:ilvl w:val="5"/>
        <w:numId w:val="2"/>
      </w:numPr>
      <w:spacing w:before="240" w:after="60"/>
      <w:outlineLvl w:val="5"/>
    </w:pPr>
    <w:rPr>
      <w:b/>
      <w:bCs/>
      <w:sz w:val="22"/>
      <w:szCs w:val="22"/>
    </w:rPr>
  </w:style>
  <w:style w:type="paragraph" w:styleId="Heading7">
    <w:name w:val="heading 7"/>
    <w:basedOn w:val="Normal"/>
    <w:next w:val="Normal"/>
    <w:qFormat/>
    <w:rsid w:val="00123D79"/>
    <w:pPr>
      <w:numPr>
        <w:ilvl w:val="6"/>
        <w:numId w:val="2"/>
      </w:numPr>
      <w:spacing w:before="240" w:after="60"/>
      <w:outlineLvl w:val="6"/>
    </w:pPr>
  </w:style>
  <w:style w:type="paragraph" w:styleId="Heading8">
    <w:name w:val="heading 8"/>
    <w:basedOn w:val="Normal"/>
    <w:next w:val="Normal"/>
    <w:qFormat/>
    <w:rsid w:val="00123D79"/>
    <w:pPr>
      <w:numPr>
        <w:ilvl w:val="7"/>
        <w:numId w:val="2"/>
      </w:numPr>
      <w:spacing w:before="240" w:after="60"/>
      <w:outlineLvl w:val="7"/>
    </w:pPr>
    <w:rPr>
      <w:i/>
      <w:iCs/>
    </w:rPr>
  </w:style>
  <w:style w:type="paragraph" w:styleId="Heading9">
    <w:name w:val="heading 9"/>
    <w:basedOn w:val="Normal"/>
    <w:next w:val="Normal"/>
    <w:qFormat/>
    <w:rsid w:val="00123D79"/>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7BB"/>
    <w:pPr>
      <w:tabs>
        <w:tab w:val="center" w:pos="4320"/>
        <w:tab w:val="right" w:pos="8640"/>
      </w:tabs>
    </w:pPr>
  </w:style>
  <w:style w:type="paragraph" w:styleId="Footer">
    <w:name w:val="footer"/>
    <w:basedOn w:val="Normal"/>
    <w:link w:val="FooterChar"/>
    <w:uiPriority w:val="99"/>
    <w:rsid w:val="00A107BB"/>
    <w:pPr>
      <w:tabs>
        <w:tab w:val="center" w:pos="4320"/>
        <w:tab w:val="right" w:pos="8640"/>
      </w:tabs>
    </w:pPr>
  </w:style>
  <w:style w:type="table" w:styleId="TableGrid">
    <w:name w:val="Table Grid"/>
    <w:basedOn w:val="TableNormal"/>
    <w:uiPriority w:val="39"/>
    <w:rsid w:val="00A1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F28F7"/>
  </w:style>
  <w:style w:type="paragraph" w:styleId="BalloonText">
    <w:name w:val="Balloon Text"/>
    <w:basedOn w:val="Normal"/>
    <w:semiHidden/>
    <w:rsid w:val="0064545A"/>
    <w:rPr>
      <w:rFonts w:ascii="Tahoma" w:hAnsi="Tahoma" w:cs="Tahoma"/>
      <w:sz w:val="16"/>
      <w:szCs w:val="16"/>
    </w:rPr>
  </w:style>
  <w:style w:type="character" w:styleId="Hyperlink">
    <w:name w:val="Hyperlink"/>
    <w:basedOn w:val="DefaultParagraphFont"/>
    <w:rsid w:val="00E74D08"/>
    <w:rPr>
      <w:color w:val="0000FF"/>
      <w:u w:val="single"/>
    </w:rPr>
  </w:style>
  <w:style w:type="character" w:styleId="Strong">
    <w:name w:val="Strong"/>
    <w:basedOn w:val="DefaultParagraphFont"/>
    <w:qFormat/>
    <w:rsid w:val="00CA7E52"/>
    <w:rPr>
      <w:b/>
      <w:bCs/>
    </w:rPr>
  </w:style>
  <w:style w:type="character" w:styleId="CommentReference">
    <w:name w:val="annotation reference"/>
    <w:basedOn w:val="DefaultParagraphFont"/>
    <w:rsid w:val="00333571"/>
    <w:rPr>
      <w:sz w:val="16"/>
      <w:szCs w:val="16"/>
    </w:rPr>
  </w:style>
  <w:style w:type="paragraph" w:styleId="CommentText">
    <w:name w:val="annotation text"/>
    <w:basedOn w:val="Normal"/>
    <w:link w:val="CommentTextChar"/>
    <w:rsid w:val="00333571"/>
    <w:rPr>
      <w:sz w:val="20"/>
      <w:szCs w:val="20"/>
    </w:rPr>
  </w:style>
  <w:style w:type="character" w:customStyle="1" w:styleId="CommentTextChar">
    <w:name w:val="Comment Text Char"/>
    <w:basedOn w:val="DefaultParagraphFont"/>
    <w:link w:val="CommentText"/>
    <w:rsid w:val="00333571"/>
    <w:rPr>
      <w:lang w:val="en-US" w:eastAsia="en-US"/>
    </w:rPr>
  </w:style>
  <w:style w:type="paragraph" w:styleId="CommentSubject">
    <w:name w:val="annotation subject"/>
    <w:basedOn w:val="CommentText"/>
    <w:next w:val="CommentText"/>
    <w:link w:val="CommentSubjectChar"/>
    <w:rsid w:val="00333571"/>
    <w:rPr>
      <w:b/>
      <w:bCs/>
    </w:rPr>
  </w:style>
  <w:style w:type="character" w:customStyle="1" w:styleId="CommentSubjectChar">
    <w:name w:val="Comment Subject Char"/>
    <w:basedOn w:val="CommentTextChar"/>
    <w:link w:val="CommentSubject"/>
    <w:rsid w:val="00333571"/>
    <w:rPr>
      <w:b/>
      <w:bCs/>
      <w:lang w:val="en-US" w:eastAsia="en-US"/>
    </w:rPr>
  </w:style>
  <w:style w:type="paragraph" w:styleId="ListParagraph">
    <w:name w:val="List Paragraph"/>
    <w:basedOn w:val="Normal"/>
    <w:uiPriority w:val="34"/>
    <w:qFormat/>
    <w:rsid w:val="00682414"/>
    <w:pPr>
      <w:ind w:left="720"/>
    </w:pPr>
  </w:style>
  <w:style w:type="paragraph" w:styleId="Revision">
    <w:name w:val="Revision"/>
    <w:hidden/>
    <w:uiPriority w:val="99"/>
    <w:semiHidden/>
    <w:rsid w:val="00D770EB"/>
    <w:rPr>
      <w:sz w:val="24"/>
      <w:szCs w:val="24"/>
      <w:lang w:val="en-US" w:eastAsia="en-US"/>
    </w:rPr>
  </w:style>
  <w:style w:type="character" w:customStyle="1" w:styleId="UnresolvedMention1">
    <w:name w:val="Unresolved Mention1"/>
    <w:basedOn w:val="DefaultParagraphFont"/>
    <w:uiPriority w:val="99"/>
    <w:unhideWhenUsed/>
    <w:rsid w:val="004512D2"/>
    <w:rPr>
      <w:color w:val="605E5C"/>
      <w:shd w:val="clear" w:color="auto" w:fill="E1DFDD"/>
    </w:rPr>
  </w:style>
  <w:style w:type="character" w:customStyle="1" w:styleId="Mention1">
    <w:name w:val="Mention1"/>
    <w:basedOn w:val="DefaultParagraphFont"/>
    <w:uiPriority w:val="99"/>
    <w:unhideWhenUsed/>
    <w:rsid w:val="004512D2"/>
    <w:rPr>
      <w:color w:val="2B579A"/>
      <w:shd w:val="clear" w:color="auto" w:fill="E1DFDD"/>
    </w:rPr>
  </w:style>
  <w:style w:type="character" w:customStyle="1" w:styleId="FooterChar">
    <w:name w:val="Footer Char"/>
    <w:basedOn w:val="DefaultParagraphFont"/>
    <w:link w:val="Footer"/>
    <w:uiPriority w:val="99"/>
    <w:rsid w:val="002A4C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70517">
      <w:bodyDiv w:val="1"/>
      <w:marLeft w:val="0"/>
      <w:marRight w:val="0"/>
      <w:marTop w:val="0"/>
      <w:marBottom w:val="0"/>
      <w:divBdr>
        <w:top w:val="none" w:sz="0" w:space="0" w:color="auto"/>
        <w:left w:val="none" w:sz="0" w:space="0" w:color="auto"/>
        <w:bottom w:val="none" w:sz="0" w:space="0" w:color="auto"/>
        <w:right w:val="none" w:sz="0" w:space="0" w:color="auto"/>
      </w:divBdr>
    </w:div>
    <w:div w:id="989554026">
      <w:bodyDiv w:val="1"/>
      <w:marLeft w:val="0"/>
      <w:marRight w:val="0"/>
      <w:marTop w:val="0"/>
      <w:marBottom w:val="0"/>
      <w:divBdr>
        <w:top w:val="none" w:sz="0" w:space="0" w:color="auto"/>
        <w:left w:val="none" w:sz="0" w:space="0" w:color="auto"/>
        <w:bottom w:val="none" w:sz="0" w:space="0" w:color="auto"/>
        <w:right w:val="none" w:sz="0" w:space="0" w:color="auto"/>
      </w:divBdr>
    </w:div>
    <w:div w:id="17920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eo-eiri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sif.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4" ma:contentTypeDescription="Create a new document." ma:contentTypeScope="" ma:versionID="850256e3694ca88a705cf1543917af85">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520fb098dfa0f52baf70ceb1a1d5efde"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99F62-6E34-4E64-A76F-BB9022320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21EA3-A4F6-4BCA-9285-9F29797BEE09}">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3.xml><?xml version="1.0" encoding="utf-8"?>
<ds:datastoreItem xmlns:ds="http://schemas.openxmlformats.org/officeDocument/2006/customXml" ds:itemID="{257C235D-1B86-47E9-B8C8-D23227F58820}">
  <ds:schemaRefs>
    <ds:schemaRef ds:uri="http://schemas.microsoft.com/sharepoint/v3/contenttype/forms"/>
  </ds:schemaRefs>
</ds:datastoreItem>
</file>

<file path=customXml/itemProps4.xml><?xml version="1.0" encoding="utf-8"?>
<ds:datastoreItem xmlns:ds="http://schemas.openxmlformats.org/officeDocument/2006/customXml" ds:itemID="{C349E37F-93EB-473F-9465-8059957C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2554</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1</vt:lpstr>
    </vt:vector>
  </TitlesOfParts>
  <Company>the University of Greenwich</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dr16</dc:creator>
  <cp:keywords/>
  <cp:lastModifiedBy>Balgisa Ahmed</cp:lastModifiedBy>
  <cp:revision>5</cp:revision>
  <cp:lastPrinted>2016-02-03T01:08:00Z</cp:lastPrinted>
  <dcterms:created xsi:type="dcterms:W3CDTF">2025-02-24T16:45:00Z</dcterms:created>
  <dcterms:modified xsi:type="dcterms:W3CDTF">2025-05-09T13:53:00Z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Owner">
    <vt:lpwstr>twigdenj@intranet.barcapint.com</vt:lpwstr>
  </property>
  <property fmtid="{D5CDD505-2E9C-101B-9397-08002B2CF9AE}" pid="5" name="MSIP_Label_c754cbb2-29ed-4ffe-af90-a08465e0dd2c_SetDate">
    <vt:lpwstr>2021-09-02T14:29:17.2826686Z</vt:lpwstr>
  </property>
  <property fmtid="{D5CDD505-2E9C-101B-9397-08002B2CF9AE}" pid="6" name="MSIP_Label_c754cbb2-29ed-4ffe-af90-a08465e0dd2c_Name">
    <vt:lpwstr>Unrestricted</vt:lpwstr>
  </property>
  <property fmtid="{D5CDD505-2E9C-101B-9397-08002B2CF9AE}" pid="7" name="MSIP_Label_c754cbb2-29ed-4ffe-af90-a08465e0dd2c_Application">
    <vt:lpwstr>Microsoft Azure Information Protection</vt:lpwstr>
  </property>
  <property fmtid="{D5CDD505-2E9C-101B-9397-08002B2CF9AE}" pid="8" name="MSIP_Label_c754cbb2-29ed-4ffe-af90-a08465e0dd2c_Extended_MSFT_Method">
    <vt:lpwstr>Manual</vt:lpwstr>
  </property>
  <property fmtid="{D5CDD505-2E9C-101B-9397-08002B2CF9AE}" pid="9" name="barclaysdc">
    <vt:lpwstr>Unrestricted</vt:lpwstr>
  </property>
  <property fmtid="{D5CDD505-2E9C-101B-9397-08002B2CF9AE}" pid="10" name="_NewReviewCycle">
    <vt:lpwstr/>
  </property>
  <property fmtid="{D5CDD505-2E9C-101B-9397-08002B2CF9AE}" pid="11" name="ContentTypeId">
    <vt:lpwstr>0x010100DBB57A6B9722DE4484E0FABA265746B5</vt:lpwstr>
  </property>
</Properties>
</file>