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B2778" w14:textId="3E5B5894" w:rsidR="00DA669B" w:rsidRPr="00220A07" w:rsidRDefault="00DA669B" w:rsidP="00604CB7">
      <w:pPr>
        <w:pStyle w:val="Heading31"/>
        <w:tabs>
          <w:tab w:val="left" w:pos="142"/>
        </w:tabs>
        <w:ind w:left="-567" w:firstLine="0"/>
        <w:rPr>
          <w:rFonts w:ascii="Arial" w:hAnsi="Arial" w:cs="Arial"/>
          <w:sz w:val="24"/>
          <w:szCs w:val="24"/>
        </w:rPr>
      </w:pPr>
    </w:p>
    <w:p w14:paraId="3F032541" w14:textId="77777777" w:rsidR="00574BA6" w:rsidRPr="0050318D" w:rsidRDefault="00574BA6" w:rsidP="007123B6">
      <w:pPr>
        <w:pStyle w:val="Header"/>
        <w:tabs>
          <w:tab w:val="left" w:pos="142"/>
          <w:tab w:val="center" w:pos="6804"/>
          <w:tab w:val="right" w:pos="13608"/>
        </w:tabs>
        <w:ind w:left="0" w:firstLine="0"/>
        <w:jc w:val="left"/>
        <w:rPr>
          <w:rFonts w:cs="Arial"/>
          <w:sz w:val="24"/>
        </w:rPr>
      </w:pPr>
    </w:p>
    <w:p w14:paraId="7C05DB2E" w14:textId="0A84E7E4" w:rsidR="007123B6" w:rsidRPr="0050318D" w:rsidRDefault="007123B6" w:rsidP="00FF0727">
      <w:pPr>
        <w:ind w:left="0" w:firstLine="0"/>
        <w:jc w:val="left"/>
        <w:rPr>
          <w:rFonts w:cs="Arial"/>
          <w:sz w:val="24"/>
        </w:rPr>
      </w:pPr>
    </w:p>
    <w:p w14:paraId="01EAC11D" w14:textId="6D9C506A" w:rsidR="006C521A" w:rsidRDefault="00A11E37" w:rsidP="00C877C8">
      <w:pPr>
        <w:pStyle w:val="Title"/>
        <w:ind w:firstLine="0"/>
        <w:rPr>
          <w:sz w:val="28"/>
          <w:szCs w:val="28"/>
        </w:rPr>
      </w:pPr>
      <w:r w:rsidRPr="0059544B">
        <w:rPr>
          <w:sz w:val="28"/>
          <w:szCs w:val="28"/>
        </w:rPr>
        <w:t>R</w:t>
      </w:r>
      <w:r w:rsidR="005A4A60" w:rsidRPr="0059544B">
        <w:rPr>
          <w:sz w:val="28"/>
          <w:szCs w:val="28"/>
        </w:rPr>
        <w:t xml:space="preserve">isk Management </w:t>
      </w:r>
      <w:r w:rsidRPr="0059544B">
        <w:rPr>
          <w:sz w:val="28"/>
          <w:szCs w:val="28"/>
        </w:rPr>
        <w:t>Policy</w:t>
      </w:r>
      <w:r w:rsidR="00C67A9F" w:rsidRPr="0059544B">
        <w:rPr>
          <w:sz w:val="28"/>
          <w:szCs w:val="28"/>
        </w:rPr>
        <w:t xml:space="preserve"> and </w:t>
      </w:r>
      <w:r w:rsidR="00BD71BA" w:rsidRPr="0059544B">
        <w:rPr>
          <w:sz w:val="28"/>
          <w:szCs w:val="28"/>
        </w:rPr>
        <w:t>Guidance</w:t>
      </w:r>
    </w:p>
    <w:p w14:paraId="379694E7" w14:textId="77777777" w:rsidR="00115ACF" w:rsidRDefault="00115ACF" w:rsidP="00115ACF"/>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Document Control Information"/>
      </w:tblPr>
      <w:tblGrid>
        <w:gridCol w:w="4051"/>
        <w:gridCol w:w="4878"/>
      </w:tblGrid>
      <w:tr w:rsidR="00EB28A9" w:rsidRPr="00115ACF" w14:paraId="01920BA2" w14:textId="77777777" w:rsidTr="00115ACF">
        <w:trPr>
          <w:trHeight w:val="300"/>
        </w:trPr>
        <w:tc>
          <w:tcPr>
            <w:tcW w:w="4095" w:type="dxa"/>
            <w:tcBorders>
              <w:top w:val="single" w:sz="6" w:space="0" w:color="auto"/>
              <w:left w:val="single" w:sz="6" w:space="0" w:color="auto"/>
              <w:bottom w:val="nil"/>
              <w:right w:val="nil"/>
            </w:tcBorders>
            <w:vAlign w:val="center"/>
            <w:hideMark/>
          </w:tcPr>
          <w:p w14:paraId="77A17658" w14:textId="77777777" w:rsidR="00115ACF" w:rsidRPr="00115ACF" w:rsidRDefault="00115ACF" w:rsidP="00115ACF">
            <w:pPr>
              <w:rPr>
                <w:b/>
                <w:bCs/>
              </w:rPr>
            </w:pPr>
            <w:r w:rsidRPr="00115ACF">
              <w:rPr>
                <w:b/>
                <w:bCs/>
              </w:rPr>
              <w:t>Document Control Information </w:t>
            </w:r>
          </w:p>
        </w:tc>
        <w:tc>
          <w:tcPr>
            <w:tcW w:w="4950" w:type="dxa"/>
            <w:tcBorders>
              <w:top w:val="single" w:sz="6" w:space="0" w:color="auto"/>
              <w:left w:val="nil"/>
              <w:bottom w:val="nil"/>
              <w:right w:val="single" w:sz="6" w:space="0" w:color="auto"/>
            </w:tcBorders>
            <w:vAlign w:val="center"/>
            <w:hideMark/>
          </w:tcPr>
          <w:p w14:paraId="08460748" w14:textId="77777777" w:rsidR="00115ACF" w:rsidRPr="00115ACF" w:rsidRDefault="00115ACF" w:rsidP="00115ACF">
            <w:pPr>
              <w:rPr>
                <w:b/>
                <w:bCs/>
              </w:rPr>
            </w:pPr>
            <w:r w:rsidRPr="00115ACF">
              <w:rPr>
                <w:b/>
                <w:bCs/>
              </w:rPr>
              <w:t> </w:t>
            </w:r>
          </w:p>
        </w:tc>
      </w:tr>
      <w:tr w:rsidR="00EB28A9" w:rsidRPr="00115ACF" w14:paraId="2E388A57" w14:textId="77777777" w:rsidTr="00115ACF">
        <w:trPr>
          <w:trHeight w:val="300"/>
        </w:trPr>
        <w:tc>
          <w:tcPr>
            <w:tcW w:w="4095" w:type="dxa"/>
            <w:tcBorders>
              <w:top w:val="single" w:sz="6" w:space="0" w:color="auto"/>
              <w:left w:val="single" w:sz="6" w:space="0" w:color="auto"/>
              <w:bottom w:val="nil"/>
              <w:right w:val="nil"/>
            </w:tcBorders>
            <w:vAlign w:val="center"/>
            <w:hideMark/>
          </w:tcPr>
          <w:p w14:paraId="5AD4FB59" w14:textId="77777777" w:rsidR="00115ACF" w:rsidRPr="00115ACF" w:rsidRDefault="00115ACF" w:rsidP="00115ACF">
            <w:pPr>
              <w:rPr>
                <w:b/>
                <w:bCs/>
              </w:rPr>
            </w:pPr>
            <w:r w:rsidRPr="00115ACF">
              <w:t>Version control</w:t>
            </w:r>
            <w:r w:rsidRPr="00115ACF">
              <w:rPr>
                <w:b/>
                <w:bCs/>
              </w:rPr>
              <w:t> </w:t>
            </w:r>
          </w:p>
        </w:tc>
        <w:tc>
          <w:tcPr>
            <w:tcW w:w="4950" w:type="dxa"/>
            <w:tcBorders>
              <w:top w:val="single" w:sz="6" w:space="0" w:color="auto"/>
              <w:left w:val="nil"/>
              <w:bottom w:val="nil"/>
              <w:right w:val="single" w:sz="6" w:space="0" w:color="auto"/>
            </w:tcBorders>
            <w:vAlign w:val="center"/>
            <w:hideMark/>
          </w:tcPr>
          <w:p w14:paraId="37BB79B3" w14:textId="2627E319" w:rsidR="00115ACF" w:rsidRPr="00115ACF" w:rsidRDefault="00115ACF" w:rsidP="00115ACF">
            <w:pPr>
              <w:rPr>
                <w:b/>
                <w:bCs/>
              </w:rPr>
            </w:pPr>
            <w:proofErr w:type="gramStart"/>
            <w:r w:rsidRPr="00115ACF">
              <w:t>[  </w:t>
            </w:r>
            <w:r w:rsidR="00B46122">
              <w:t>1.0</w:t>
            </w:r>
            <w:proofErr w:type="gramEnd"/>
            <w:r w:rsidRPr="00115ACF">
              <w:t xml:space="preserve"> ]</w:t>
            </w:r>
            <w:r w:rsidRPr="00115ACF">
              <w:rPr>
                <w:b/>
                <w:bCs/>
              </w:rPr>
              <w:t> </w:t>
            </w:r>
          </w:p>
        </w:tc>
      </w:tr>
      <w:tr w:rsidR="00EB28A9" w:rsidRPr="00115ACF" w14:paraId="421D7545" w14:textId="77777777" w:rsidTr="00115ACF">
        <w:trPr>
          <w:trHeight w:val="300"/>
        </w:trPr>
        <w:tc>
          <w:tcPr>
            <w:tcW w:w="4095" w:type="dxa"/>
            <w:tcBorders>
              <w:top w:val="nil"/>
              <w:left w:val="single" w:sz="6" w:space="0" w:color="auto"/>
              <w:bottom w:val="nil"/>
              <w:right w:val="nil"/>
            </w:tcBorders>
            <w:vAlign w:val="center"/>
            <w:hideMark/>
          </w:tcPr>
          <w:p w14:paraId="4A1FFBEE" w14:textId="77777777" w:rsidR="00115ACF" w:rsidRPr="00115ACF" w:rsidRDefault="00115ACF" w:rsidP="00115ACF">
            <w:pPr>
              <w:rPr>
                <w:b/>
                <w:bCs/>
              </w:rPr>
            </w:pPr>
            <w:r w:rsidRPr="00115ACF">
              <w:t>Owned by: </w:t>
            </w:r>
            <w:r w:rsidRPr="00115ACF">
              <w:rPr>
                <w:b/>
                <w:bCs/>
              </w:rPr>
              <w:t> </w:t>
            </w:r>
          </w:p>
        </w:tc>
        <w:tc>
          <w:tcPr>
            <w:tcW w:w="4950" w:type="dxa"/>
            <w:tcBorders>
              <w:top w:val="nil"/>
              <w:left w:val="nil"/>
              <w:bottom w:val="nil"/>
              <w:right w:val="single" w:sz="6" w:space="0" w:color="auto"/>
            </w:tcBorders>
            <w:vAlign w:val="center"/>
            <w:hideMark/>
          </w:tcPr>
          <w:p w14:paraId="4810A883" w14:textId="590891F9" w:rsidR="00115ACF" w:rsidRPr="00115ACF" w:rsidRDefault="00115ACF" w:rsidP="00115ACF">
            <w:pPr>
              <w:rPr>
                <w:b/>
                <w:bCs/>
              </w:rPr>
            </w:pPr>
            <w:r w:rsidRPr="00115ACF">
              <w:t>[ </w:t>
            </w:r>
            <w:r>
              <w:t xml:space="preserve">Chief Operating </w:t>
            </w:r>
            <w:proofErr w:type="gramStart"/>
            <w:r>
              <w:t>Officer</w:t>
            </w:r>
            <w:r w:rsidRPr="00115ACF">
              <w:t>  ]</w:t>
            </w:r>
            <w:proofErr w:type="gramEnd"/>
            <w:r w:rsidRPr="00115ACF">
              <w:rPr>
                <w:b/>
                <w:bCs/>
              </w:rPr>
              <w:t> </w:t>
            </w:r>
          </w:p>
        </w:tc>
      </w:tr>
      <w:tr w:rsidR="00EB28A9" w:rsidRPr="00115ACF" w14:paraId="3BC1866D" w14:textId="77777777" w:rsidTr="00115ACF">
        <w:trPr>
          <w:trHeight w:val="300"/>
        </w:trPr>
        <w:tc>
          <w:tcPr>
            <w:tcW w:w="4095" w:type="dxa"/>
            <w:tcBorders>
              <w:top w:val="nil"/>
              <w:left w:val="single" w:sz="6" w:space="0" w:color="auto"/>
              <w:bottom w:val="nil"/>
              <w:right w:val="nil"/>
            </w:tcBorders>
            <w:vAlign w:val="center"/>
            <w:hideMark/>
          </w:tcPr>
          <w:p w14:paraId="7F289D12" w14:textId="77777777" w:rsidR="00115ACF" w:rsidRPr="00115ACF" w:rsidRDefault="00115ACF" w:rsidP="00115ACF">
            <w:pPr>
              <w:rPr>
                <w:b/>
                <w:bCs/>
              </w:rPr>
            </w:pPr>
            <w:r w:rsidRPr="00115ACF">
              <w:t>Latest amendment on:</w:t>
            </w:r>
            <w:r w:rsidRPr="00115ACF">
              <w:rPr>
                <w:b/>
                <w:bCs/>
              </w:rPr>
              <w:t> </w:t>
            </w:r>
          </w:p>
        </w:tc>
        <w:tc>
          <w:tcPr>
            <w:tcW w:w="4950" w:type="dxa"/>
            <w:tcBorders>
              <w:top w:val="nil"/>
              <w:left w:val="nil"/>
              <w:bottom w:val="nil"/>
              <w:right w:val="single" w:sz="6" w:space="0" w:color="auto"/>
            </w:tcBorders>
            <w:vAlign w:val="center"/>
            <w:hideMark/>
          </w:tcPr>
          <w:p w14:paraId="541EC6E8" w14:textId="6579AC5A" w:rsidR="00115ACF" w:rsidRPr="00115ACF" w:rsidRDefault="00115ACF" w:rsidP="00115ACF">
            <w:pPr>
              <w:rPr>
                <w:b/>
                <w:bCs/>
              </w:rPr>
            </w:pPr>
            <w:proofErr w:type="gramStart"/>
            <w:r w:rsidRPr="00115ACF">
              <w:t>[  </w:t>
            </w:r>
            <w:r w:rsidR="00B46122">
              <w:t>14</w:t>
            </w:r>
            <w:proofErr w:type="gramEnd"/>
            <w:r w:rsidR="005F6F9B" w:rsidRPr="005F6F9B">
              <w:rPr>
                <w:vertAlign w:val="superscript"/>
              </w:rPr>
              <w:t>th</w:t>
            </w:r>
            <w:r w:rsidR="005F6F9B">
              <w:t xml:space="preserve"> May </w:t>
            </w:r>
            <w:proofErr w:type="gramStart"/>
            <w:r w:rsidR="005F6F9B">
              <w:t>202</w:t>
            </w:r>
            <w:r w:rsidR="00B46122">
              <w:t>5</w:t>
            </w:r>
            <w:r w:rsidRPr="00115ACF">
              <w:t xml:space="preserve"> ]</w:t>
            </w:r>
            <w:proofErr w:type="gramEnd"/>
            <w:r w:rsidRPr="00115ACF">
              <w:rPr>
                <w:b/>
                <w:bCs/>
              </w:rPr>
              <w:t> </w:t>
            </w:r>
          </w:p>
        </w:tc>
      </w:tr>
      <w:tr w:rsidR="00EB28A9" w:rsidRPr="00115ACF" w14:paraId="2D5260CC" w14:textId="77777777" w:rsidTr="00115ACF">
        <w:trPr>
          <w:trHeight w:val="300"/>
        </w:trPr>
        <w:tc>
          <w:tcPr>
            <w:tcW w:w="4095" w:type="dxa"/>
            <w:tcBorders>
              <w:top w:val="nil"/>
              <w:left w:val="single" w:sz="6" w:space="0" w:color="auto"/>
              <w:bottom w:val="nil"/>
              <w:right w:val="nil"/>
            </w:tcBorders>
            <w:vAlign w:val="center"/>
            <w:hideMark/>
          </w:tcPr>
          <w:p w14:paraId="0A4EDCC4" w14:textId="77777777" w:rsidR="00115ACF" w:rsidRPr="00115ACF" w:rsidRDefault="00115ACF" w:rsidP="00115ACF">
            <w:pPr>
              <w:rPr>
                <w:b/>
                <w:bCs/>
              </w:rPr>
            </w:pPr>
            <w:r w:rsidRPr="00115ACF">
              <w:t>Approved by:</w:t>
            </w:r>
            <w:r w:rsidRPr="00115ACF">
              <w:rPr>
                <w:b/>
                <w:bCs/>
              </w:rPr>
              <w:t> </w:t>
            </w:r>
          </w:p>
        </w:tc>
        <w:tc>
          <w:tcPr>
            <w:tcW w:w="4950" w:type="dxa"/>
            <w:tcBorders>
              <w:top w:val="nil"/>
              <w:left w:val="nil"/>
              <w:bottom w:val="nil"/>
              <w:right w:val="single" w:sz="6" w:space="0" w:color="auto"/>
            </w:tcBorders>
            <w:vAlign w:val="center"/>
            <w:hideMark/>
          </w:tcPr>
          <w:p w14:paraId="0E780487" w14:textId="58150B10" w:rsidR="00115ACF" w:rsidRPr="00115ACF" w:rsidRDefault="00115ACF" w:rsidP="00115ACF">
            <w:pPr>
              <w:rPr>
                <w:b/>
                <w:bCs/>
              </w:rPr>
            </w:pPr>
            <w:proofErr w:type="gramStart"/>
            <w:r w:rsidRPr="00115ACF">
              <w:t>[  </w:t>
            </w:r>
            <w:r w:rsidR="00EB28A9">
              <w:t>Board</w:t>
            </w:r>
            <w:proofErr w:type="gramEnd"/>
            <w:r w:rsidR="00EB28A9">
              <w:t xml:space="preserve"> of </w:t>
            </w:r>
            <w:proofErr w:type="gramStart"/>
            <w:r w:rsidR="00EB28A9">
              <w:t>Governors</w:t>
            </w:r>
            <w:r w:rsidRPr="00115ACF">
              <w:t xml:space="preserve"> ]</w:t>
            </w:r>
            <w:proofErr w:type="gramEnd"/>
            <w:r w:rsidRPr="00115ACF">
              <w:rPr>
                <w:b/>
                <w:bCs/>
              </w:rPr>
              <w:t> </w:t>
            </w:r>
          </w:p>
        </w:tc>
      </w:tr>
      <w:tr w:rsidR="00EB28A9" w:rsidRPr="00115ACF" w14:paraId="3984DB89" w14:textId="77777777" w:rsidTr="00115ACF">
        <w:trPr>
          <w:trHeight w:val="300"/>
        </w:trPr>
        <w:tc>
          <w:tcPr>
            <w:tcW w:w="4095" w:type="dxa"/>
            <w:tcBorders>
              <w:top w:val="nil"/>
              <w:left w:val="single" w:sz="6" w:space="0" w:color="auto"/>
              <w:bottom w:val="nil"/>
              <w:right w:val="nil"/>
            </w:tcBorders>
            <w:vAlign w:val="center"/>
            <w:hideMark/>
          </w:tcPr>
          <w:p w14:paraId="4C583CF6" w14:textId="77777777" w:rsidR="00115ACF" w:rsidRPr="00115ACF" w:rsidRDefault="00115ACF" w:rsidP="00115ACF">
            <w:pPr>
              <w:rPr>
                <w:b/>
                <w:bCs/>
              </w:rPr>
            </w:pPr>
            <w:r w:rsidRPr="00115ACF">
              <w:t>Approved on:</w:t>
            </w:r>
            <w:r w:rsidRPr="00115ACF">
              <w:rPr>
                <w:b/>
                <w:bCs/>
              </w:rPr>
              <w:t> </w:t>
            </w:r>
          </w:p>
        </w:tc>
        <w:tc>
          <w:tcPr>
            <w:tcW w:w="4950" w:type="dxa"/>
            <w:tcBorders>
              <w:top w:val="nil"/>
              <w:left w:val="nil"/>
              <w:bottom w:val="nil"/>
              <w:right w:val="single" w:sz="6" w:space="0" w:color="auto"/>
            </w:tcBorders>
            <w:vAlign w:val="center"/>
            <w:hideMark/>
          </w:tcPr>
          <w:p w14:paraId="702794D0" w14:textId="32C68EC0" w:rsidR="00115ACF" w:rsidRPr="00115ACF" w:rsidRDefault="00115ACF" w:rsidP="00115ACF">
            <w:pPr>
              <w:rPr>
                <w:b/>
                <w:bCs/>
              </w:rPr>
            </w:pPr>
            <w:r w:rsidRPr="00115ACF">
              <w:t>[ </w:t>
            </w:r>
            <w:r w:rsidR="00EB28A9">
              <w:t>2</w:t>
            </w:r>
            <w:r w:rsidR="00B46122">
              <w:t>6</w:t>
            </w:r>
            <w:r w:rsidR="00EB28A9" w:rsidRPr="00EB28A9">
              <w:rPr>
                <w:vertAlign w:val="superscript"/>
              </w:rPr>
              <w:t>th</w:t>
            </w:r>
            <w:r w:rsidR="00EB28A9">
              <w:t xml:space="preserve"> June </w:t>
            </w:r>
            <w:proofErr w:type="gramStart"/>
            <w:r w:rsidR="00EB28A9">
              <w:t>202</w:t>
            </w:r>
            <w:r w:rsidR="00B46122">
              <w:t>5</w:t>
            </w:r>
            <w:r w:rsidRPr="00115ACF">
              <w:t>  ]</w:t>
            </w:r>
            <w:proofErr w:type="gramEnd"/>
            <w:r w:rsidRPr="00115ACF">
              <w:rPr>
                <w:b/>
                <w:bCs/>
              </w:rPr>
              <w:t> </w:t>
            </w:r>
          </w:p>
        </w:tc>
      </w:tr>
      <w:tr w:rsidR="00EB28A9" w:rsidRPr="00115ACF" w14:paraId="136CDD93" w14:textId="77777777" w:rsidTr="00115ACF">
        <w:trPr>
          <w:trHeight w:val="300"/>
        </w:trPr>
        <w:tc>
          <w:tcPr>
            <w:tcW w:w="4095" w:type="dxa"/>
            <w:tcBorders>
              <w:top w:val="nil"/>
              <w:left w:val="single" w:sz="6" w:space="0" w:color="auto"/>
              <w:bottom w:val="nil"/>
              <w:right w:val="nil"/>
            </w:tcBorders>
            <w:vAlign w:val="center"/>
            <w:hideMark/>
          </w:tcPr>
          <w:p w14:paraId="38E6E6DE" w14:textId="77777777" w:rsidR="00115ACF" w:rsidRPr="00115ACF" w:rsidRDefault="00115ACF" w:rsidP="00115ACF">
            <w:pPr>
              <w:rPr>
                <w:b/>
                <w:bCs/>
              </w:rPr>
            </w:pPr>
            <w:r w:rsidRPr="00115ACF">
              <w:t>Coming into effect on:</w:t>
            </w:r>
            <w:r w:rsidRPr="00115ACF">
              <w:rPr>
                <w:b/>
                <w:bCs/>
              </w:rPr>
              <w:t> </w:t>
            </w:r>
          </w:p>
        </w:tc>
        <w:tc>
          <w:tcPr>
            <w:tcW w:w="4950" w:type="dxa"/>
            <w:tcBorders>
              <w:top w:val="nil"/>
              <w:left w:val="nil"/>
              <w:bottom w:val="nil"/>
              <w:right w:val="single" w:sz="6" w:space="0" w:color="auto"/>
            </w:tcBorders>
            <w:vAlign w:val="center"/>
            <w:hideMark/>
          </w:tcPr>
          <w:p w14:paraId="0D33B329" w14:textId="1FC0EA96" w:rsidR="00115ACF" w:rsidRPr="00115ACF" w:rsidRDefault="00115ACF" w:rsidP="00115ACF">
            <w:pPr>
              <w:rPr>
                <w:b/>
                <w:bCs/>
              </w:rPr>
            </w:pPr>
            <w:r w:rsidRPr="00115ACF">
              <w:t>[ </w:t>
            </w:r>
            <w:r w:rsidR="00EB28A9">
              <w:t>2</w:t>
            </w:r>
            <w:r w:rsidR="00B46122">
              <w:t>6</w:t>
            </w:r>
            <w:r w:rsidR="00EB28A9" w:rsidRPr="00547EE3">
              <w:rPr>
                <w:vertAlign w:val="superscript"/>
              </w:rPr>
              <w:t>th</w:t>
            </w:r>
            <w:r w:rsidR="00EB28A9">
              <w:t xml:space="preserve"> June </w:t>
            </w:r>
            <w:proofErr w:type="gramStart"/>
            <w:r w:rsidR="00EB28A9">
              <w:t>202</w:t>
            </w:r>
            <w:r w:rsidR="00B46122">
              <w:t>5</w:t>
            </w:r>
            <w:r w:rsidR="00EB28A9" w:rsidRPr="00115ACF">
              <w:t> </w:t>
            </w:r>
            <w:r w:rsidRPr="00115ACF">
              <w:t>]</w:t>
            </w:r>
            <w:proofErr w:type="gramEnd"/>
            <w:r w:rsidRPr="00115ACF">
              <w:rPr>
                <w:b/>
                <w:bCs/>
              </w:rPr>
              <w:t> </w:t>
            </w:r>
          </w:p>
        </w:tc>
      </w:tr>
      <w:tr w:rsidR="00EB28A9" w:rsidRPr="00115ACF" w14:paraId="05F54B98" w14:textId="77777777" w:rsidTr="00115ACF">
        <w:trPr>
          <w:trHeight w:val="300"/>
        </w:trPr>
        <w:tc>
          <w:tcPr>
            <w:tcW w:w="4095" w:type="dxa"/>
            <w:tcBorders>
              <w:top w:val="nil"/>
              <w:left w:val="single" w:sz="6" w:space="0" w:color="auto"/>
              <w:bottom w:val="single" w:sz="6" w:space="0" w:color="auto"/>
              <w:right w:val="nil"/>
            </w:tcBorders>
            <w:vAlign w:val="center"/>
            <w:hideMark/>
          </w:tcPr>
          <w:p w14:paraId="527D1449" w14:textId="77777777" w:rsidR="00115ACF" w:rsidRPr="00115ACF" w:rsidRDefault="00115ACF" w:rsidP="00115ACF">
            <w:pPr>
              <w:rPr>
                <w:b/>
                <w:bCs/>
              </w:rPr>
            </w:pPr>
            <w:r w:rsidRPr="00115ACF">
              <w:t>Review date:</w:t>
            </w:r>
            <w:r w:rsidRPr="00115ACF">
              <w:rPr>
                <w:b/>
                <w:bCs/>
              </w:rPr>
              <w:t> </w:t>
            </w:r>
          </w:p>
        </w:tc>
        <w:tc>
          <w:tcPr>
            <w:tcW w:w="4950" w:type="dxa"/>
            <w:tcBorders>
              <w:top w:val="nil"/>
              <w:left w:val="nil"/>
              <w:bottom w:val="single" w:sz="6" w:space="0" w:color="auto"/>
              <w:right w:val="single" w:sz="6" w:space="0" w:color="auto"/>
            </w:tcBorders>
            <w:vAlign w:val="center"/>
            <w:hideMark/>
          </w:tcPr>
          <w:p w14:paraId="23802417" w14:textId="19BECD58" w:rsidR="00115ACF" w:rsidRPr="00115ACF" w:rsidRDefault="00115ACF" w:rsidP="005F6F9B">
            <w:pPr>
              <w:ind w:left="792" w:right="242" w:hanging="74"/>
              <w:rPr>
                <w:b/>
                <w:bCs/>
              </w:rPr>
            </w:pPr>
            <w:r w:rsidRPr="00115ACF">
              <w:t>[ </w:t>
            </w:r>
            <w:r w:rsidR="005F6F9B">
              <w:t xml:space="preserve">Last reviewed by ARC </w:t>
            </w:r>
            <w:r w:rsidR="00B46122">
              <w:t>May</w:t>
            </w:r>
            <w:r w:rsidR="005F6F9B">
              <w:t xml:space="preserve"> </w:t>
            </w:r>
            <w:proofErr w:type="gramStart"/>
            <w:r w:rsidR="005F6F9B">
              <w:t>202</w:t>
            </w:r>
            <w:r w:rsidR="00B46122">
              <w:t>5</w:t>
            </w:r>
            <w:r w:rsidRPr="00115ACF">
              <w:t xml:space="preserve"> ]</w:t>
            </w:r>
            <w:proofErr w:type="gramEnd"/>
            <w:r w:rsidRPr="00115ACF">
              <w:rPr>
                <w:b/>
                <w:bCs/>
              </w:rPr>
              <w:t> </w:t>
            </w:r>
          </w:p>
        </w:tc>
      </w:tr>
    </w:tbl>
    <w:p w14:paraId="40519886" w14:textId="77777777" w:rsidR="00115ACF" w:rsidRPr="00115ACF" w:rsidRDefault="00115ACF" w:rsidP="00115ACF"/>
    <w:p w14:paraId="25FF2A10" w14:textId="77777777" w:rsidR="00536459" w:rsidRPr="00C877C8" w:rsidRDefault="00536459" w:rsidP="00C877C8">
      <w:pPr>
        <w:ind w:left="0" w:firstLine="0"/>
        <w:jc w:val="left"/>
        <w:rPr>
          <w:rFonts w:cs="Arial"/>
          <w:sz w:val="24"/>
        </w:rPr>
      </w:pPr>
    </w:p>
    <w:p w14:paraId="48FD67F4" w14:textId="7669E00D" w:rsidR="0085560C" w:rsidRPr="00E474D8" w:rsidRDefault="0085560C" w:rsidP="00B2621A">
      <w:pPr>
        <w:pStyle w:val="Heading1"/>
        <w:numPr>
          <w:ilvl w:val="0"/>
          <w:numId w:val="19"/>
        </w:numPr>
      </w:pPr>
      <w:r w:rsidRPr="00E474D8">
        <w:t>Introduction</w:t>
      </w:r>
    </w:p>
    <w:p w14:paraId="62D0F73C" w14:textId="77777777" w:rsidR="00DF66F3" w:rsidRPr="00220A07" w:rsidRDefault="00DF66F3" w:rsidP="00C877C8">
      <w:pPr>
        <w:ind w:left="0" w:firstLine="0"/>
        <w:jc w:val="left"/>
        <w:rPr>
          <w:rFonts w:cs="Arial"/>
          <w:sz w:val="24"/>
        </w:rPr>
      </w:pPr>
    </w:p>
    <w:p w14:paraId="3C89D8B4" w14:textId="024AFEF4" w:rsidR="00604CB7" w:rsidRPr="00220A07" w:rsidRDefault="00F96B39" w:rsidP="007723A1">
      <w:pPr>
        <w:pStyle w:val="ListParagraph"/>
        <w:numPr>
          <w:ilvl w:val="1"/>
          <w:numId w:val="1"/>
        </w:numPr>
        <w:tabs>
          <w:tab w:val="left" w:pos="426"/>
        </w:tabs>
        <w:snapToGrid w:val="0"/>
        <w:spacing w:after="240"/>
        <w:contextualSpacing w:val="0"/>
        <w:jc w:val="left"/>
        <w:rPr>
          <w:rFonts w:cs="Arial"/>
          <w:sz w:val="24"/>
          <w:lang w:eastAsia="zh-CN"/>
        </w:rPr>
      </w:pPr>
      <w:r w:rsidRPr="00220A07">
        <w:rPr>
          <w:rFonts w:cs="Arial"/>
          <w:sz w:val="24"/>
        </w:rPr>
        <w:t>The University</w:t>
      </w:r>
      <w:r w:rsidR="0004064A" w:rsidRPr="00220A07">
        <w:rPr>
          <w:rFonts w:cs="Arial"/>
          <w:sz w:val="24"/>
        </w:rPr>
        <w:t>’s R</w:t>
      </w:r>
      <w:r w:rsidRPr="00220A07">
        <w:rPr>
          <w:rFonts w:cs="Arial"/>
          <w:sz w:val="24"/>
        </w:rPr>
        <w:t xml:space="preserve">isk </w:t>
      </w:r>
      <w:r w:rsidR="0004064A" w:rsidRPr="00220A07">
        <w:rPr>
          <w:rFonts w:cs="Arial"/>
          <w:sz w:val="24"/>
        </w:rPr>
        <w:t>M</w:t>
      </w:r>
      <w:r w:rsidRPr="00220A07">
        <w:rPr>
          <w:rFonts w:cs="Arial"/>
          <w:sz w:val="24"/>
        </w:rPr>
        <w:t xml:space="preserve">anagement </w:t>
      </w:r>
      <w:r w:rsidR="0004064A" w:rsidRPr="00220A07">
        <w:rPr>
          <w:rFonts w:cs="Arial"/>
          <w:sz w:val="24"/>
        </w:rPr>
        <w:t>P</w:t>
      </w:r>
      <w:r w:rsidRPr="00220A07">
        <w:rPr>
          <w:rFonts w:cs="Arial"/>
          <w:sz w:val="24"/>
        </w:rPr>
        <w:t>olicy</w:t>
      </w:r>
      <w:r w:rsidR="003A001F" w:rsidRPr="00220A07">
        <w:rPr>
          <w:rFonts w:cs="Arial"/>
          <w:sz w:val="24"/>
        </w:rPr>
        <w:t xml:space="preserve"> and </w:t>
      </w:r>
      <w:r w:rsidR="0004064A" w:rsidRPr="00220A07">
        <w:rPr>
          <w:rFonts w:cs="Arial"/>
          <w:sz w:val="24"/>
        </w:rPr>
        <w:t>P</w:t>
      </w:r>
      <w:r w:rsidR="003A001F" w:rsidRPr="00220A07">
        <w:rPr>
          <w:rFonts w:cs="Arial"/>
          <w:sz w:val="24"/>
        </w:rPr>
        <w:t xml:space="preserve">rocess </w:t>
      </w:r>
      <w:r w:rsidR="0004064A" w:rsidRPr="00220A07">
        <w:rPr>
          <w:rFonts w:cs="Arial"/>
          <w:sz w:val="24"/>
        </w:rPr>
        <w:t xml:space="preserve">is intended to support the delivery of the University’s mission and Strategic Plan by ensuring that the University </w:t>
      </w:r>
      <w:r w:rsidR="00EC1402" w:rsidRPr="00220A07">
        <w:rPr>
          <w:rFonts w:cs="Arial"/>
          <w:sz w:val="24"/>
        </w:rPr>
        <w:t>id</w:t>
      </w:r>
      <w:r w:rsidR="00D143F8" w:rsidRPr="00220A07">
        <w:rPr>
          <w:rFonts w:cs="Arial"/>
          <w:sz w:val="24"/>
        </w:rPr>
        <w:t>entif</w:t>
      </w:r>
      <w:r w:rsidR="00574BA6" w:rsidRPr="00220A07">
        <w:rPr>
          <w:rFonts w:cs="Arial"/>
          <w:sz w:val="24"/>
        </w:rPr>
        <w:t>ies</w:t>
      </w:r>
      <w:r w:rsidR="003A001F" w:rsidRPr="00220A07">
        <w:rPr>
          <w:rFonts w:cs="Arial"/>
          <w:sz w:val="24"/>
        </w:rPr>
        <w:t xml:space="preserve"> risks, assess</w:t>
      </w:r>
      <w:r w:rsidR="00A11E37" w:rsidRPr="00220A07">
        <w:rPr>
          <w:rFonts w:cs="Arial"/>
          <w:sz w:val="24"/>
        </w:rPr>
        <w:t>es</w:t>
      </w:r>
      <w:r w:rsidR="003A001F" w:rsidRPr="00220A07">
        <w:rPr>
          <w:rFonts w:cs="Arial"/>
          <w:sz w:val="24"/>
        </w:rPr>
        <w:t xml:space="preserve"> them and </w:t>
      </w:r>
      <w:r w:rsidR="00D143F8" w:rsidRPr="00220A07">
        <w:rPr>
          <w:rFonts w:cs="Arial"/>
          <w:sz w:val="24"/>
        </w:rPr>
        <w:t>develop</w:t>
      </w:r>
      <w:r w:rsidR="00A11E37" w:rsidRPr="00220A07">
        <w:rPr>
          <w:rFonts w:cs="Arial"/>
          <w:sz w:val="24"/>
        </w:rPr>
        <w:t>s</w:t>
      </w:r>
      <w:r w:rsidR="003A001F" w:rsidRPr="00220A07">
        <w:rPr>
          <w:rFonts w:cs="Arial"/>
          <w:sz w:val="24"/>
        </w:rPr>
        <w:t xml:space="preserve"> controls and actions to mitigate them.</w:t>
      </w:r>
    </w:p>
    <w:p w14:paraId="0F4B3BCC" w14:textId="28825617" w:rsidR="00D32ADE" w:rsidRDefault="002A1B8E" w:rsidP="007723A1">
      <w:pPr>
        <w:pStyle w:val="ListParagraph"/>
        <w:numPr>
          <w:ilvl w:val="1"/>
          <w:numId w:val="1"/>
        </w:numPr>
        <w:tabs>
          <w:tab w:val="left" w:pos="426"/>
        </w:tabs>
        <w:snapToGrid w:val="0"/>
        <w:spacing w:after="240"/>
        <w:contextualSpacing w:val="0"/>
        <w:jc w:val="left"/>
        <w:rPr>
          <w:rFonts w:cs="Arial"/>
          <w:sz w:val="24"/>
          <w:lang w:eastAsia="zh-CN"/>
        </w:rPr>
      </w:pPr>
      <w:r w:rsidRPr="00220A07">
        <w:rPr>
          <w:rFonts w:cs="Arial"/>
          <w:sz w:val="24"/>
        </w:rPr>
        <w:t xml:space="preserve">The Institute of </w:t>
      </w:r>
      <w:r w:rsidR="00D32ADE" w:rsidRPr="00220A07">
        <w:rPr>
          <w:rFonts w:cs="Arial"/>
          <w:sz w:val="24"/>
        </w:rPr>
        <w:t>Risk Management defines risk as</w:t>
      </w:r>
      <w:r w:rsidR="00AD2370" w:rsidRPr="00220A07">
        <w:rPr>
          <w:rFonts w:cs="Arial"/>
          <w:sz w:val="24"/>
        </w:rPr>
        <w:t>:</w:t>
      </w:r>
    </w:p>
    <w:p w14:paraId="02EC3098" w14:textId="77777777" w:rsidR="00797D47" w:rsidRDefault="002A1B8E" w:rsidP="00797D47">
      <w:pPr>
        <w:pStyle w:val="NormalWeb"/>
        <w:shd w:val="clear" w:color="auto" w:fill="FFFFFF"/>
        <w:tabs>
          <w:tab w:val="left" w:pos="426"/>
        </w:tabs>
        <w:snapToGrid w:val="0"/>
        <w:spacing w:before="0" w:beforeAutospacing="0" w:after="240" w:afterAutospacing="0"/>
        <w:ind w:left="777" w:firstLine="0"/>
        <w:jc w:val="left"/>
        <w:rPr>
          <w:rFonts w:ascii="Arial" w:hAnsi="Arial" w:cs="Arial"/>
        </w:rPr>
      </w:pPr>
      <w:r w:rsidRPr="00220A07">
        <w:rPr>
          <w:rFonts w:ascii="Arial" w:hAnsi="Arial" w:cs="Arial"/>
        </w:rPr>
        <w:t xml:space="preserve">‘The combination of the probability of an event and its consequence. </w:t>
      </w:r>
      <w:r w:rsidR="00574BA6" w:rsidRPr="00220A07">
        <w:rPr>
          <w:rFonts w:ascii="Arial" w:hAnsi="Arial" w:cs="Arial"/>
        </w:rPr>
        <w:t xml:space="preserve"> </w:t>
      </w:r>
      <w:r w:rsidRPr="00220A07">
        <w:rPr>
          <w:rFonts w:ascii="Arial" w:hAnsi="Arial" w:cs="Arial"/>
        </w:rPr>
        <w:t>Consequences can range from positive to negative.’</w:t>
      </w:r>
    </w:p>
    <w:p w14:paraId="501594D1" w14:textId="77777777" w:rsidR="00797D47" w:rsidRDefault="00574BA6" w:rsidP="00797D47">
      <w:pPr>
        <w:pStyle w:val="NormalWeb"/>
        <w:shd w:val="clear" w:color="auto" w:fill="FFFFFF"/>
        <w:tabs>
          <w:tab w:val="left" w:pos="426"/>
        </w:tabs>
        <w:snapToGrid w:val="0"/>
        <w:spacing w:before="0" w:beforeAutospacing="0" w:after="240" w:afterAutospacing="0"/>
        <w:ind w:left="777" w:firstLine="0"/>
        <w:jc w:val="left"/>
        <w:rPr>
          <w:rFonts w:ascii="Arial" w:hAnsi="Arial" w:cs="Arial"/>
        </w:rPr>
      </w:pPr>
      <w:r w:rsidRPr="00220A07">
        <w:rPr>
          <w:rFonts w:ascii="Arial" w:hAnsi="Arial" w:cs="Arial"/>
        </w:rPr>
        <w:t>And r</w:t>
      </w:r>
      <w:r w:rsidR="002A1B8E" w:rsidRPr="00220A07">
        <w:rPr>
          <w:rFonts w:ascii="Arial" w:hAnsi="Arial" w:cs="Arial"/>
        </w:rPr>
        <w:t xml:space="preserve">isk management </w:t>
      </w:r>
      <w:r w:rsidRPr="00220A07">
        <w:rPr>
          <w:rFonts w:ascii="Arial" w:hAnsi="Arial" w:cs="Arial"/>
        </w:rPr>
        <w:t>as:</w:t>
      </w:r>
    </w:p>
    <w:p w14:paraId="13A441FC" w14:textId="35170B34" w:rsidR="002A1B8E" w:rsidRPr="00220A07" w:rsidRDefault="00574BA6" w:rsidP="00797D47">
      <w:pPr>
        <w:pStyle w:val="NormalWeb"/>
        <w:shd w:val="clear" w:color="auto" w:fill="FFFFFF"/>
        <w:tabs>
          <w:tab w:val="left" w:pos="426"/>
        </w:tabs>
        <w:snapToGrid w:val="0"/>
        <w:spacing w:before="0" w:beforeAutospacing="0" w:after="240" w:afterAutospacing="0"/>
        <w:ind w:left="777" w:firstLine="0"/>
        <w:jc w:val="left"/>
        <w:rPr>
          <w:rFonts w:ascii="Arial" w:hAnsi="Arial" w:cs="Arial"/>
        </w:rPr>
      </w:pPr>
      <w:r w:rsidRPr="00220A07">
        <w:rPr>
          <w:rFonts w:ascii="Arial" w:hAnsi="Arial" w:cs="Arial"/>
        </w:rPr>
        <w:t>‘</w:t>
      </w:r>
      <w:proofErr w:type="gramStart"/>
      <w:r w:rsidR="002A1B8E" w:rsidRPr="00220A07">
        <w:rPr>
          <w:rFonts w:ascii="Arial" w:hAnsi="Arial" w:cs="Arial"/>
        </w:rPr>
        <w:t>the</w:t>
      </w:r>
      <w:proofErr w:type="gramEnd"/>
      <w:r w:rsidR="002A1B8E" w:rsidRPr="00220A07">
        <w:rPr>
          <w:rFonts w:ascii="Arial" w:hAnsi="Arial" w:cs="Arial"/>
        </w:rPr>
        <w:t xml:space="preserve"> systematic process of understanding, evaluating and addressing these risks</w:t>
      </w:r>
      <w:r w:rsidR="00797D47">
        <w:rPr>
          <w:rFonts w:ascii="Arial" w:hAnsi="Arial" w:cs="Arial"/>
        </w:rPr>
        <w:t xml:space="preserve"> </w:t>
      </w:r>
      <w:r w:rsidR="002A1B8E" w:rsidRPr="00220A07">
        <w:rPr>
          <w:rFonts w:ascii="Arial" w:hAnsi="Arial" w:cs="Arial"/>
        </w:rPr>
        <w:t xml:space="preserve">to maximise the chances of objectives being achieved and ensuring organisations, individuals </w:t>
      </w:r>
      <w:r w:rsidR="00716EA0" w:rsidRPr="00220A07">
        <w:rPr>
          <w:rFonts w:ascii="Arial" w:hAnsi="Arial" w:cs="Arial"/>
        </w:rPr>
        <w:t>and communities are sustainable</w:t>
      </w:r>
      <w:r w:rsidR="002A1B8E" w:rsidRPr="00220A07">
        <w:rPr>
          <w:rFonts w:ascii="Arial" w:hAnsi="Arial" w:cs="Arial"/>
        </w:rPr>
        <w:t>.’</w:t>
      </w:r>
    </w:p>
    <w:p w14:paraId="1F842901" w14:textId="6F47260D" w:rsidR="002A1B8E" w:rsidRPr="00220A07" w:rsidRDefault="002A1B8E" w:rsidP="007723A1">
      <w:pPr>
        <w:pStyle w:val="ListParagraph"/>
        <w:numPr>
          <w:ilvl w:val="1"/>
          <w:numId w:val="1"/>
        </w:numPr>
        <w:tabs>
          <w:tab w:val="left" w:pos="426"/>
        </w:tabs>
        <w:snapToGrid w:val="0"/>
        <w:spacing w:after="240"/>
        <w:contextualSpacing w:val="0"/>
        <w:jc w:val="left"/>
        <w:rPr>
          <w:rFonts w:cs="Arial"/>
          <w:sz w:val="24"/>
        </w:rPr>
      </w:pPr>
      <w:r w:rsidRPr="00220A07">
        <w:rPr>
          <w:rFonts w:cs="Arial"/>
          <w:sz w:val="24"/>
        </w:rPr>
        <w:t>In addition</w:t>
      </w:r>
      <w:r w:rsidR="00574BA6" w:rsidRPr="00220A07">
        <w:rPr>
          <w:rFonts w:cs="Arial"/>
          <w:sz w:val="24"/>
        </w:rPr>
        <w:t>,</w:t>
      </w:r>
      <w:r w:rsidRPr="00220A07">
        <w:rPr>
          <w:rFonts w:cs="Arial"/>
          <w:sz w:val="24"/>
        </w:rPr>
        <w:t xml:space="preserve"> it should be noted</w:t>
      </w:r>
      <w:r w:rsidR="00574BA6" w:rsidRPr="00220A07">
        <w:rPr>
          <w:rFonts w:cs="Arial"/>
          <w:sz w:val="24"/>
        </w:rPr>
        <w:t xml:space="preserve"> that</w:t>
      </w:r>
      <w:r w:rsidRPr="00220A07">
        <w:rPr>
          <w:rFonts w:cs="Arial"/>
          <w:sz w:val="24"/>
        </w:rPr>
        <w:t xml:space="preserve"> the </w:t>
      </w:r>
      <w:r w:rsidR="00DB11B8" w:rsidRPr="00220A07">
        <w:rPr>
          <w:rFonts w:cs="Arial"/>
          <w:sz w:val="24"/>
        </w:rPr>
        <w:t>Office for Students’ Regulatory Framework for higher education in England</w:t>
      </w:r>
      <w:r w:rsidR="0004064A" w:rsidRPr="00220A07">
        <w:rPr>
          <w:rFonts w:cs="Arial"/>
          <w:sz w:val="24"/>
        </w:rPr>
        <w:t xml:space="preserve"> </w:t>
      </w:r>
      <w:r w:rsidRPr="00220A07">
        <w:rPr>
          <w:rFonts w:cs="Arial"/>
          <w:sz w:val="24"/>
        </w:rPr>
        <w:t xml:space="preserve">requires </w:t>
      </w:r>
      <w:r w:rsidRPr="00220A07">
        <w:rPr>
          <w:rFonts w:cs="Arial"/>
          <w:sz w:val="24"/>
          <w:shd w:val="clear" w:color="auto" w:fill="FFFFFF"/>
        </w:rPr>
        <w:t xml:space="preserve">higher education institutions to </w:t>
      </w:r>
      <w:r w:rsidR="00CB25B1" w:rsidRPr="00220A07">
        <w:rPr>
          <w:rFonts w:cs="Arial"/>
          <w:sz w:val="24"/>
        </w:rPr>
        <w:t xml:space="preserve">ensure they </w:t>
      </w:r>
      <w:r w:rsidR="00DB11B8" w:rsidRPr="00220A07">
        <w:rPr>
          <w:rFonts w:cs="Arial"/>
          <w:sz w:val="24"/>
        </w:rPr>
        <w:t>operate</w:t>
      </w:r>
      <w:r w:rsidR="0004064A" w:rsidRPr="00220A07">
        <w:rPr>
          <w:rFonts w:cs="Arial"/>
          <w:sz w:val="24"/>
        </w:rPr>
        <w:t xml:space="preserve"> </w:t>
      </w:r>
      <w:r w:rsidR="00A1505C">
        <w:rPr>
          <w:rFonts w:cs="Arial"/>
          <w:sz w:val="24"/>
        </w:rPr>
        <w:t>‘</w:t>
      </w:r>
      <w:r w:rsidR="00DB11B8" w:rsidRPr="00220A07">
        <w:rPr>
          <w:rFonts w:cs="Arial"/>
          <w:sz w:val="24"/>
        </w:rPr>
        <w:t>comprehensive corporate risk management and control arrangements (including for academic risk) to ensure the sustainability of the provider’s operations, and its ability to continue to comply with all of its conditions of registration</w:t>
      </w:r>
      <w:r w:rsidR="00A1505C">
        <w:rPr>
          <w:rFonts w:cs="Arial"/>
          <w:sz w:val="24"/>
        </w:rPr>
        <w:t>.’</w:t>
      </w:r>
    </w:p>
    <w:p w14:paraId="20AB7F15" w14:textId="77777777" w:rsidR="00DF66F3" w:rsidRPr="00220A07" w:rsidRDefault="00E60B9C" w:rsidP="007723A1">
      <w:pPr>
        <w:pStyle w:val="ListParagraph"/>
        <w:numPr>
          <w:ilvl w:val="1"/>
          <w:numId w:val="1"/>
        </w:numPr>
        <w:tabs>
          <w:tab w:val="left" w:pos="426"/>
        </w:tabs>
        <w:snapToGrid w:val="0"/>
        <w:spacing w:after="240"/>
        <w:contextualSpacing w:val="0"/>
        <w:jc w:val="left"/>
        <w:rPr>
          <w:rFonts w:cs="Arial"/>
          <w:sz w:val="24"/>
        </w:rPr>
      </w:pPr>
      <w:r w:rsidRPr="00220A07">
        <w:rPr>
          <w:rFonts w:cs="Arial"/>
          <w:sz w:val="24"/>
        </w:rPr>
        <w:t xml:space="preserve">The University has adopted a risk management policy and process that </w:t>
      </w:r>
      <w:r w:rsidR="00F67D91" w:rsidRPr="00220A07">
        <w:rPr>
          <w:rFonts w:cs="Arial"/>
          <w:sz w:val="24"/>
        </w:rPr>
        <w:t xml:space="preserve">is integrated with </w:t>
      </w:r>
      <w:r w:rsidRPr="00220A07">
        <w:rPr>
          <w:rFonts w:cs="Arial"/>
          <w:sz w:val="24"/>
        </w:rPr>
        <w:t>the strategic and business planning process</w:t>
      </w:r>
      <w:r w:rsidR="003762B5" w:rsidRPr="00220A07">
        <w:rPr>
          <w:rFonts w:cs="Arial"/>
          <w:sz w:val="24"/>
        </w:rPr>
        <w:t>.</w:t>
      </w:r>
      <w:r w:rsidR="00574BA6" w:rsidRPr="00220A07">
        <w:rPr>
          <w:rFonts w:cs="Arial"/>
          <w:sz w:val="24"/>
        </w:rPr>
        <w:t xml:space="preserve"> </w:t>
      </w:r>
      <w:r w:rsidR="003762B5" w:rsidRPr="00220A07">
        <w:rPr>
          <w:rFonts w:cs="Arial"/>
          <w:sz w:val="24"/>
        </w:rPr>
        <w:t xml:space="preserve"> This is where the</w:t>
      </w:r>
      <w:r w:rsidRPr="00220A07">
        <w:rPr>
          <w:rFonts w:cs="Arial"/>
          <w:sz w:val="24"/>
        </w:rPr>
        <w:t xml:space="preserve"> translation of strategic objectives into annual plans </w:t>
      </w:r>
      <w:proofErr w:type="gramStart"/>
      <w:r w:rsidR="003762B5" w:rsidRPr="00220A07">
        <w:rPr>
          <w:rFonts w:cs="Arial"/>
          <w:sz w:val="24"/>
        </w:rPr>
        <w:t>occur</w:t>
      </w:r>
      <w:r w:rsidR="00574BA6" w:rsidRPr="00220A07">
        <w:rPr>
          <w:rFonts w:cs="Arial"/>
          <w:sz w:val="24"/>
        </w:rPr>
        <w:t>s</w:t>
      </w:r>
      <w:proofErr w:type="gramEnd"/>
      <w:r w:rsidR="003762B5" w:rsidRPr="00220A07">
        <w:rPr>
          <w:rFonts w:cs="Arial"/>
          <w:sz w:val="24"/>
        </w:rPr>
        <w:t xml:space="preserve"> </w:t>
      </w:r>
      <w:r w:rsidRPr="00220A07">
        <w:rPr>
          <w:rFonts w:cs="Arial"/>
          <w:sz w:val="24"/>
        </w:rPr>
        <w:t>and an annual assessment of risk</w:t>
      </w:r>
      <w:r w:rsidR="003762B5" w:rsidRPr="00220A07">
        <w:rPr>
          <w:rFonts w:cs="Arial"/>
          <w:sz w:val="24"/>
        </w:rPr>
        <w:t xml:space="preserve">s is made </w:t>
      </w:r>
      <w:r w:rsidR="00574BA6" w:rsidRPr="00220A07">
        <w:rPr>
          <w:rFonts w:cs="Arial"/>
          <w:sz w:val="24"/>
        </w:rPr>
        <w:t xml:space="preserve">at institution and </w:t>
      </w:r>
      <w:r w:rsidR="00F67D91" w:rsidRPr="00220A07">
        <w:rPr>
          <w:rFonts w:cs="Arial"/>
          <w:sz w:val="24"/>
        </w:rPr>
        <w:t xml:space="preserve">School </w:t>
      </w:r>
      <w:r w:rsidR="00574BA6" w:rsidRPr="00220A07">
        <w:rPr>
          <w:rFonts w:cs="Arial"/>
          <w:sz w:val="24"/>
        </w:rPr>
        <w:t>and Professional Service D</w:t>
      </w:r>
      <w:r w:rsidRPr="00220A07">
        <w:rPr>
          <w:rFonts w:cs="Arial"/>
          <w:sz w:val="24"/>
        </w:rPr>
        <w:t xml:space="preserve">epartment </w:t>
      </w:r>
      <w:r w:rsidR="00574BA6" w:rsidRPr="00220A07">
        <w:rPr>
          <w:rFonts w:cs="Arial"/>
          <w:sz w:val="24"/>
        </w:rPr>
        <w:t xml:space="preserve">(PSD) </w:t>
      </w:r>
      <w:r w:rsidRPr="00220A07">
        <w:rPr>
          <w:rFonts w:cs="Arial"/>
          <w:sz w:val="24"/>
        </w:rPr>
        <w:t>level.</w:t>
      </w:r>
      <w:r w:rsidR="00574BA6" w:rsidRPr="00220A07">
        <w:rPr>
          <w:rFonts w:cs="Arial"/>
          <w:sz w:val="24"/>
        </w:rPr>
        <w:t xml:space="preserve"> </w:t>
      </w:r>
      <w:r w:rsidRPr="00220A07">
        <w:rPr>
          <w:rFonts w:cs="Arial"/>
          <w:sz w:val="24"/>
        </w:rPr>
        <w:t xml:space="preserve"> This is </w:t>
      </w:r>
      <w:r w:rsidR="00F67D91" w:rsidRPr="00220A07">
        <w:rPr>
          <w:rFonts w:cs="Arial"/>
          <w:sz w:val="24"/>
        </w:rPr>
        <w:t xml:space="preserve">followed </w:t>
      </w:r>
      <w:r w:rsidRPr="00220A07">
        <w:rPr>
          <w:rFonts w:cs="Arial"/>
          <w:sz w:val="24"/>
        </w:rPr>
        <w:t xml:space="preserve">by </w:t>
      </w:r>
      <w:r w:rsidR="00F67D91" w:rsidRPr="00220A07">
        <w:rPr>
          <w:rFonts w:cs="Arial"/>
          <w:sz w:val="24"/>
        </w:rPr>
        <w:t>regular</w:t>
      </w:r>
      <w:r w:rsidRPr="00220A07">
        <w:rPr>
          <w:rFonts w:cs="Arial"/>
          <w:sz w:val="24"/>
        </w:rPr>
        <w:t xml:space="preserve"> review </w:t>
      </w:r>
      <w:r w:rsidR="00F67D91" w:rsidRPr="00220A07">
        <w:rPr>
          <w:rFonts w:cs="Arial"/>
          <w:sz w:val="24"/>
        </w:rPr>
        <w:lastRenderedPageBreak/>
        <w:t xml:space="preserve">throughout the year </w:t>
      </w:r>
      <w:r w:rsidRPr="00220A07">
        <w:rPr>
          <w:rFonts w:cs="Arial"/>
          <w:sz w:val="24"/>
        </w:rPr>
        <w:t xml:space="preserve">of </w:t>
      </w:r>
      <w:r w:rsidR="003762B5" w:rsidRPr="00220A07">
        <w:rPr>
          <w:rFonts w:cs="Arial"/>
          <w:sz w:val="24"/>
        </w:rPr>
        <w:t xml:space="preserve">the </w:t>
      </w:r>
      <w:r w:rsidR="00F67D91" w:rsidRPr="00220A07">
        <w:rPr>
          <w:rFonts w:cs="Arial"/>
          <w:sz w:val="24"/>
        </w:rPr>
        <w:t xml:space="preserve">resulting </w:t>
      </w:r>
      <w:r w:rsidR="003762B5" w:rsidRPr="00220A07">
        <w:rPr>
          <w:rFonts w:cs="Arial"/>
          <w:sz w:val="24"/>
        </w:rPr>
        <w:t xml:space="preserve">risk </w:t>
      </w:r>
      <w:r w:rsidR="00F67D91" w:rsidRPr="00220A07">
        <w:rPr>
          <w:rFonts w:cs="Arial"/>
          <w:sz w:val="24"/>
        </w:rPr>
        <w:t xml:space="preserve">registers, controls and </w:t>
      </w:r>
      <w:r w:rsidRPr="00220A07">
        <w:rPr>
          <w:rFonts w:cs="Arial"/>
          <w:sz w:val="24"/>
        </w:rPr>
        <w:t>action</w:t>
      </w:r>
      <w:r w:rsidR="00F67D91" w:rsidRPr="00220A07">
        <w:rPr>
          <w:rFonts w:cs="Arial"/>
          <w:sz w:val="24"/>
        </w:rPr>
        <w:t>s to address risks</w:t>
      </w:r>
      <w:r w:rsidRPr="00220A07">
        <w:rPr>
          <w:rFonts w:cs="Arial"/>
          <w:sz w:val="24"/>
        </w:rPr>
        <w:t>.</w:t>
      </w:r>
    </w:p>
    <w:p w14:paraId="42CE84F8" w14:textId="00E76AFC" w:rsidR="000D11DB" w:rsidRPr="00E474D8" w:rsidRDefault="00BD71BA" w:rsidP="00B2621A">
      <w:pPr>
        <w:pStyle w:val="Heading1"/>
        <w:numPr>
          <w:ilvl w:val="0"/>
          <w:numId w:val="19"/>
        </w:numPr>
      </w:pPr>
      <w:r w:rsidRPr="00E474D8">
        <w:t xml:space="preserve">University approach to Risk Management </w:t>
      </w:r>
    </w:p>
    <w:p w14:paraId="0998ADFA" w14:textId="77777777" w:rsidR="00DF66F3" w:rsidRPr="00220A07" w:rsidRDefault="00DF66F3" w:rsidP="0050318D">
      <w:pPr>
        <w:ind w:left="0" w:firstLine="0"/>
        <w:rPr>
          <w:rFonts w:cs="Arial"/>
          <w:sz w:val="24"/>
          <w:lang w:eastAsia="zh-CN"/>
        </w:rPr>
      </w:pPr>
    </w:p>
    <w:p w14:paraId="07D0087F" w14:textId="77777777" w:rsidR="00604CB7" w:rsidRPr="00220A07" w:rsidRDefault="00604CB7" w:rsidP="00B2621A">
      <w:pPr>
        <w:pStyle w:val="ListParagraph"/>
        <w:numPr>
          <w:ilvl w:val="1"/>
          <w:numId w:val="6"/>
        </w:numPr>
        <w:tabs>
          <w:tab w:val="left" w:pos="426"/>
        </w:tabs>
        <w:snapToGrid w:val="0"/>
        <w:spacing w:after="240"/>
        <w:contextualSpacing w:val="0"/>
        <w:jc w:val="left"/>
        <w:rPr>
          <w:rFonts w:cs="Arial"/>
          <w:b/>
          <w:sz w:val="24"/>
        </w:rPr>
      </w:pPr>
      <w:r w:rsidRPr="00220A07">
        <w:rPr>
          <w:rFonts w:cs="Arial"/>
          <w:sz w:val="24"/>
        </w:rPr>
        <w:t>The following key principles outline the University’s approach to risk management and internal control:</w:t>
      </w:r>
    </w:p>
    <w:p w14:paraId="52E2A0EA" w14:textId="288A6BEF" w:rsidR="00604CB7" w:rsidRPr="00220A07" w:rsidRDefault="00604CB7" w:rsidP="00B2621A">
      <w:pPr>
        <w:pStyle w:val="ListParagraph"/>
        <w:numPr>
          <w:ilvl w:val="5"/>
          <w:numId w:val="3"/>
        </w:numPr>
        <w:tabs>
          <w:tab w:val="left" w:pos="426"/>
        </w:tabs>
        <w:snapToGrid w:val="0"/>
        <w:spacing w:after="120"/>
        <w:ind w:left="851" w:hanging="425"/>
        <w:contextualSpacing w:val="0"/>
        <w:jc w:val="left"/>
        <w:rPr>
          <w:rFonts w:cs="Arial"/>
          <w:b/>
          <w:sz w:val="24"/>
        </w:rPr>
      </w:pPr>
      <w:r w:rsidRPr="00220A07">
        <w:rPr>
          <w:rFonts w:cs="Arial"/>
          <w:sz w:val="24"/>
        </w:rPr>
        <w:t>Risk management is a value</w:t>
      </w:r>
      <w:r w:rsidR="00F67D91" w:rsidRPr="00220A07">
        <w:rPr>
          <w:rFonts w:cs="Arial"/>
          <w:sz w:val="24"/>
        </w:rPr>
        <w:t>-</w:t>
      </w:r>
      <w:r w:rsidRPr="00220A07">
        <w:rPr>
          <w:rFonts w:cs="Arial"/>
          <w:sz w:val="24"/>
        </w:rPr>
        <w:t xml:space="preserve">added process that enables the institution to achieve its </w:t>
      </w:r>
      <w:r w:rsidR="00F67D91" w:rsidRPr="00220A07">
        <w:rPr>
          <w:rFonts w:cs="Arial"/>
          <w:sz w:val="24"/>
        </w:rPr>
        <w:t>S</w:t>
      </w:r>
      <w:r w:rsidRPr="00220A07">
        <w:rPr>
          <w:rFonts w:cs="Arial"/>
          <w:sz w:val="24"/>
        </w:rPr>
        <w:t xml:space="preserve">trategic </w:t>
      </w:r>
      <w:r w:rsidR="00F67D91" w:rsidRPr="00220A07">
        <w:rPr>
          <w:rFonts w:cs="Arial"/>
          <w:sz w:val="24"/>
        </w:rPr>
        <w:t>P</w:t>
      </w:r>
      <w:r w:rsidRPr="00220A07">
        <w:rPr>
          <w:rFonts w:cs="Arial"/>
          <w:sz w:val="24"/>
        </w:rPr>
        <w:t>lan and actively engages with stakeholders.</w:t>
      </w:r>
    </w:p>
    <w:p w14:paraId="5B44145D" w14:textId="64124131" w:rsidR="0049256D" w:rsidRPr="00220A07" w:rsidRDefault="0049256D" w:rsidP="00B2621A">
      <w:pPr>
        <w:pStyle w:val="ListParagraph"/>
        <w:numPr>
          <w:ilvl w:val="5"/>
          <w:numId w:val="3"/>
        </w:numPr>
        <w:tabs>
          <w:tab w:val="left" w:pos="426"/>
        </w:tabs>
        <w:snapToGrid w:val="0"/>
        <w:spacing w:after="120"/>
        <w:ind w:left="851" w:hanging="425"/>
        <w:contextualSpacing w:val="0"/>
        <w:jc w:val="left"/>
        <w:rPr>
          <w:rFonts w:cs="Arial"/>
          <w:b/>
          <w:sz w:val="24"/>
        </w:rPr>
      </w:pPr>
      <w:r w:rsidRPr="00220A07">
        <w:rPr>
          <w:rFonts w:cs="Arial"/>
          <w:sz w:val="24"/>
        </w:rPr>
        <w:t xml:space="preserve">The Senior </w:t>
      </w:r>
      <w:r w:rsidR="00F67D91" w:rsidRPr="00220A07">
        <w:rPr>
          <w:rFonts w:cs="Arial"/>
          <w:sz w:val="24"/>
        </w:rPr>
        <w:t xml:space="preserve">Leadership </w:t>
      </w:r>
      <w:r w:rsidRPr="00220A07">
        <w:rPr>
          <w:rFonts w:cs="Arial"/>
          <w:sz w:val="24"/>
        </w:rPr>
        <w:t>Team</w:t>
      </w:r>
      <w:r w:rsidR="00574BA6" w:rsidRPr="00220A07">
        <w:rPr>
          <w:rFonts w:cs="Arial"/>
          <w:sz w:val="24"/>
        </w:rPr>
        <w:t xml:space="preserve"> (S</w:t>
      </w:r>
      <w:r w:rsidR="00F67D91" w:rsidRPr="00220A07">
        <w:rPr>
          <w:rFonts w:cs="Arial"/>
          <w:sz w:val="24"/>
        </w:rPr>
        <w:t>L</w:t>
      </w:r>
      <w:r w:rsidR="00574BA6" w:rsidRPr="00220A07">
        <w:rPr>
          <w:rFonts w:cs="Arial"/>
          <w:sz w:val="24"/>
        </w:rPr>
        <w:t>T)</w:t>
      </w:r>
      <w:r w:rsidRPr="00220A07">
        <w:rPr>
          <w:rFonts w:cs="Arial"/>
          <w:sz w:val="24"/>
        </w:rPr>
        <w:t xml:space="preserve"> </w:t>
      </w:r>
      <w:r w:rsidR="00F67D91" w:rsidRPr="00220A07">
        <w:rPr>
          <w:rFonts w:cs="Arial"/>
          <w:sz w:val="24"/>
        </w:rPr>
        <w:t xml:space="preserve">regularly </w:t>
      </w:r>
      <w:r w:rsidRPr="00220A07">
        <w:rPr>
          <w:rFonts w:cs="Arial"/>
          <w:sz w:val="24"/>
        </w:rPr>
        <w:t>identifies, manages and reports on risks</w:t>
      </w:r>
      <w:r w:rsidR="00F67D91" w:rsidRPr="00220A07">
        <w:rPr>
          <w:rFonts w:cs="Arial"/>
          <w:sz w:val="24"/>
        </w:rPr>
        <w:t xml:space="preserve"> (as required and at least quarterly)</w:t>
      </w:r>
      <w:r w:rsidRPr="00220A07">
        <w:rPr>
          <w:rFonts w:cs="Arial"/>
          <w:sz w:val="24"/>
        </w:rPr>
        <w:t>.</w:t>
      </w:r>
    </w:p>
    <w:p w14:paraId="5DCE0814" w14:textId="77777777" w:rsidR="00604CB7" w:rsidRPr="00220A07" w:rsidRDefault="00A86664" w:rsidP="00B2621A">
      <w:pPr>
        <w:pStyle w:val="ListParagraph"/>
        <w:numPr>
          <w:ilvl w:val="5"/>
          <w:numId w:val="3"/>
        </w:numPr>
        <w:tabs>
          <w:tab w:val="left" w:pos="426"/>
        </w:tabs>
        <w:snapToGrid w:val="0"/>
        <w:spacing w:after="120"/>
        <w:ind w:left="851" w:hanging="425"/>
        <w:contextualSpacing w:val="0"/>
        <w:jc w:val="left"/>
        <w:rPr>
          <w:rFonts w:cs="Arial"/>
          <w:b/>
          <w:sz w:val="24"/>
        </w:rPr>
      </w:pPr>
      <w:r w:rsidRPr="00220A07">
        <w:rPr>
          <w:rFonts w:cs="Arial"/>
          <w:sz w:val="24"/>
        </w:rPr>
        <w:t>The risk management process is embedded with</w:t>
      </w:r>
      <w:r w:rsidR="00BF0B7F" w:rsidRPr="00220A07">
        <w:rPr>
          <w:rFonts w:cs="Arial"/>
          <w:sz w:val="24"/>
        </w:rPr>
        <w:t>in the</w:t>
      </w:r>
      <w:r w:rsidRPr="00220A07">
        <w:rPr>
          <w:rFonts w:cs="Arial"/>
          <w:sz w:val="24"/>
        </w:rPr>
        <w:t xml:space="preserve"> </w:t>
      </w:r>
      <w:r w:rsidR="00AA75F9" w:rsidRPr="00220A07">
        <w:rPr>
          <w:rFonts w:cs="Arial"/>
          <w:sz w:val="24"/>
        </w:rPr>
        <w:t>strategic and business planning</w:t>
      </w:r>
      <w:r w:rsidR="00BF0B7F" w:rsidRPr="00220A07">
        <w:rPr>
          <w:rFonts w:cs="Arial"/>
          <w:sz w:val="24"/>
        </w:rPr>
        <w:t xml:space="preserve"> process</w:t>
      </w:r>
      <w:r w:rsidR="00AA75F9" w:rsidRPr="00220A07">
        <w:rPr>
          <w:rFonts w:cs="Arial"/>
          <w:sz w:val="24"/>
        </w:rPr>
        <w:t xml:space="preserve"> with </w:t>
      </w:r>
      <w:r w:rsidR="00BF0B7F" w:rsidRPr="00220A07">
        <w:rPr>
          <w:rFonts w:cs="Arial"/>
          <w:sz w:val="24"/>
        </w:rPr>
        <w:t xml:space="preserve">a clear reporting structure, </w:t>
      </w:r>
      <w:r w:rsidR="00AA75F9" w:rsidRPr="00220A07">
        <w:rPr>
          <w:rFonts w:cs="Arial"/>
          <w:sz w:val="24"/>
        </w:rPr>
        <w:t>transparent roles and responsibilities.</w:t>
      </w:r>
    </w:p>
    <w:p w14:paraId="4418CE5E" w14:textId="7E214394" w:rsidR="002A1B8E" w:rsidRPr="00220A07" w:rsidRDefault="00BF0B7F" w:rsidP="00B2621A">
      <w:pPr>
        <w:pStyle w:val="ListParagraph"/>
        <w:numPr>
          <w:ilvl w:val="5"/>
          <w:numId w:val="3"/>
        </w:numPr>
        <w:tabs>
          <w:tab w:val="left" w:pos="426"/>
        </w:tabs>
        <w:snapToGrid w:val="0"/>
        <w:spacing w:after="120"/>
        <w:ind w:left="851" w:hanging="425"/>
        <w:contextualSpacing w:val="0"/>
        <w:jc w:val="left"/>
        <w:rPr>
          <w:rFonts w:cs="Arial"/>
          <w:b/>
          <w:sz w:val="24"/>
        </w:rPr>
      </w:pPr>
      <w:r w:rsidRPr="00220A07">
        <w:rPr>
          <w:rFonts w:cs="Arial"/>
          <w:sz w:val="24"/>
        </w:rPr>
        <w:t xml:space="preserve">All risks are aligned to the </w:t>
      </w:r>
      <w:r w:rsidR="00F67D91" w:rsidRPr="00220A07">
        <w:rPr>
          <w:rFonts w:cs="Arial"/>
          <w:sz w:val="24"/>
        </w:rPr>
        <w:t xml:space="preserve">priorities in the Strategic Plan and </w:t>
      </w:r>
      <w:r w:rsidRPr="00220A07">
        <w:rPr>
          <w:rFonts w:cs="Arial"/>
          <w:sz w:val="24"/>
        </w:rPr>
        <w:t>business objectives</w:t>
      </w:r>
      <w:r w:rsidR="00F67D91" w:rsidRPr="00220A07">
        <w:rPr>
          <w:rFonts w:cs="Arial"/>
          <w:sz w:val="24"/>
        </w:rPr>
        <w:t>. R</w:t>
      </w:r>
      <w:r w:rsidR="00574BA6" w:rsidRPr="00220A07">
        <w:rPr>
          <w:rFonts w:cs="Arial"/>
          <w:sz w:val="24"/>
        </w:rPr>
        <w:t xml:space="preserve">esource and attention </w:t>
      </w:r>
      <w:proofErr w:type="gramStart"/>
      <w:r w:rsidR="00574BA6" w:rsidRPr="00220A07">
        <w:rPr>
          <w:rFonts w:cs="Arial"/>
          <w:sz w:val="24"/>
        </w:rPr>
        <w:t>is</w:t>
      </w:r>
      <w:proofErr w:type="gramEnd"/>
      <w:r w:rsidR="00574BA6" w:rsidRPr="00220A07">
        <w:rPr>
          <w:rFonts w:cs="Arial"/>
          <w:sz w:val="24"/>
        </w:rPr>
        <w:t xml:space="preserve"> focus</w:t>
      </w:r>
      <w:r w:rsidRPr="00220A07">
        <w:rPr>
          <w:rFonts w:cs="Arial"/>
          <w:sz w:val="24"/>
        </w:rPr>
        <w:t>ed on the key risks that affect the achievement of strategic objectives.</w:t>
      </w:r>
    </w:p>
    <w:p w14:paraId="06B1C398" w14:textId="77777777" w:rsidR="00604CB7" w:rsidRPr="00220A07" w:rsidRDefault="002A1B8E" w:rsidP="00B2621A">
      <w:pPr>
        <w:pStyle w:val="ListParagraph"/>
        <w:numPr>
          <w:ilvl w:val="5"/>
          <w:numId w:val="3"/>
        </w:numPr>
        <w:tabs>
          <w:tab w:val="left" w:pos="426"/>
        </w:tabs>
        <w:snapToGrid w:val="0"/>
        <w:spacing w:after="120"/>
        <w:ind w:left="851" w:hanging="425"/>
        <w:contextualSpacing w:val="0"/>
        <w:jc w:val="left"/>
        <w:rPr>
          <w:rFonts w:cs="Arial"/>
          <w:b/>
          <w:sz w:val="24"/>
        </w:rPr>
      </w:pPr>
      <w:r w:rsidRPr="00220A07">
        <w:rPr>
          <w:rFonts w:cs="Arial"/>
          <w:sz w:val="24"/>
        </w:rPr>
        <w:t xml:space="preserve">The University recognises that there are risks associated with not taking certain actions or maximising </w:t>
      </w:r>
      <w:proofErr w:type="gramStart"/>
      <w:r w:rsidRPr="00220A07">
        <w:rPr>
          <w:rFonts w:cs="Arial"/>
          <w:sz w:val="24"/>
        </w:rPr>
        <w:t>opportunities</w:t>
      </w:r>
      <w:r w:rsidR="00815F7E" w:rsidRPr="00220A07">
        <w:rPr>
          <w:rFonts w:cs="Arial"/>
          <w:sz w:val="24"/>
        </w:rPr>
        <w:t>,</w:t>
      </w:r>
      <w:r w:rsidRPr="00220A07">
        <w:rPr>
          <w:rFonts w:cs="Arial"/>
          <w:sz w:val="24"/>
        </w:rPr>
        <w:t xml:space="preserve"> and</w:t>
      </w:r>
      <w:proofErr w:type="gramEnd"/>
      <w:r w:rsidRPr="00220A07">
        <w:rPr>
          <w:rFonts w:cs="Arial"/>
          <w:sz w:val="24"/>
        </w:rPr>
        <w:t xml:space="preserve"> encourages an open approach to the identification of such opportunities and their associated risks.</w:t>
      </w:r>
    </w:p>
    <w:p w14:paraId="6CA950B8" w14:textId="47D8643D" w:rsidR="002A1B8E" w:rsidRPr="00220A07" w:rsidRDefault="00A1505C" w:rsidP="00B2621A">
      <w:pPr>
        <w:pStyle w:val="ListParagraph"/>
        <w:numPr>
          <w:ilvl w:val="5"/>
          <w:numId w:val="3"/>
        </w:numPr>
        <w:tabs>
          <w:tab w:val="left" w:pos="426"/>
        </w:tabs>
        <w:snapToGrid w:val="0"/>
        <w:spacing w:after="120"/>
        <w:ind w:left="851" w:hanging="425"/>
        <w:contextualSpacing w:val="0"/>
        <w:jc w:val="left"/>
        <w:rPr>
          <w:rFonts w:cs="Arial"/>
          <w:b/>
          <w:sz w:val="24"/>
        </w:rPr>
      </w:pPr>
      <w:r>
        <w:rPr>
          <w:rFonts w:cs="Arial"/>
          <w:sz w:val="24"/>
        </w:rPr>
        <w:t>Deans</w:t>
      </w:r>
      <w:r w:rsidRPr="00220A07">
        <w:rPr>
          <w:rFonts w:cs="Arial"/>
          <w:sz w:val="24"/>
        </w:rPr>
        <w:t xml:space="preserve"> </w:t>
      </w:r>
      <w:r w:rsidR="00574BA6" w:rsidRPr="00220A07">
        <w:rPr>
          <w:rFonts w:cs="Arial"/>
          <w:sz w:val="24"/>
        </w:rPr>
        <w:t xml:space="preserve">of </w:t>
      </w:r>
      <w:r w:rsidR="00815F7E" w:rsidRPr="00220A07">
        <w:rPr>
          <w:rFonts w:cs="Arial"/>
          <w:sz w:val="24"/>
        </w:rPr>
        <w:t>Schools</w:t>
      </w:r>
      <w:r w:rsidR="002A1B8E" w:rsidRPr="00220A07">
        <w:rPr>
          <w:rFonts w:cs="Arial"/>
          <w:sz w:val="24"/>
        </w:rPr>
        <w:t xml:space="preserve"> and </w:t>
      </w:r>
      <w:r>
        <w:rPr>
          <w:rFonts w:cs="Arial"/>
          <w:sz w:val="24"/>
        </w:rPr>
        <w:t xml:space="preserve">Directors of </w:t>
      </w:r>
      <w:r w:rsidR="00574BA6" w:rsidRPr="00220A07">
        <w:rPr>
          <w:rFonts w:cs="Arial"/>
          <w:sz w:val="24"/>
        </w:rPr>
        <w:t>PSDs</w:t>
      </w:r>
      <w:r w:rsidR="002A1B8E" w:rsidRPr="00220A07">
        <w:rPr>
          <w:rFonts w:cs="Arial"/>
          <w:sz w:val="24"/>
        </w:rPr>
        <w:t xml:space="preserve"> are responsible for </w:t>
      </w:r>
      <w:r w:rsidR="00815F7E" w:rsidRPr="00220A07">
        <w:rPr>
          <w:rFonts w:cs="Arial"/>
          <w:sz w:val="24"/>
        </w:rPr>
        <w:t xml:space="preserve">ensuring </w:t>
      </w:r>
      <w:r w:rsidR="002A1B8E" w:rsidRPr="00220A07">
        <w:rPr>
          <w:rFonts w:cs="Arial"/>
          <w:sz w:val="24"/>
        </w:rPr>
        <w:t xml:space="preserve">good risk management practice within their departments </w:t>
      </w:r>
      <w:r w:rsidR="00815F7E" w:rsidRPr="00220A07">
        <w:rPr>
          <w:rFonts w:cs="Arial"/>
          <w:sz w:val="24"/>
        </w:rPr>
        <w:t xml:space="preserve">in compliance with this Policy, </w:t>
      </w:r>
      <w:r w:rsidR="002A1B8E" w:rsidRPr="00220A07">
        <w:rPr>
          <w:rFonts w:cs="Arial"/>
          <w:sz w:val="24"/>
        </w:rPr>
        <w:t>and for maintaining and reviewing regularly the risk man</w:t>
      </w:r>
      <w:r w:rsidR="00574BA6" w:rsidRPr="00220A07">
        <w:rPr>
          <w:rFonts w:cs="Arial"/>
          <w:sz w:val="24"/>
        </w:rPr>
        <w:t xml:space="preserve">agement arrangements for their </w:t>
      </w:r>
      <w:r w:rsidR="00815F7E" w:rsidRPr="00220A07">
        <w:rPr>
          <w:rFonts w:cs="Arial"/>
          <w:sz w:val="24"/>
        </w:rPr>
        <w:t>School</w:t>
      </w:r>
      <w:r w:rsidR="00574BA6" w:rsidRPr="00220A07">
        <w:rPr>
          <w:rFonts w:cs="Arial"/>
          <w:sz w:val="24"/>
        </w:rPr>
        <w:t>/D</w:t>
      </w:r>
      <w:r w:rsidR="002A1B8E" w:rsidRPr="00220A07">
        <w:rPr>
          <w:rFonts w:cs="Arial"/>
          <w:sz w:val="24"/>
        </w:rPr>
        <w:t>epartment.</w:t>
      </w:r>
    </w:p>
    <w:p w14:paraId="368A8D05" w14:textId="538A45A3" w:rsidR="00F51B03" w:rsidRPr="00220A07" w:rsidRDefault="00F51B03" w:rsidP="00B2621A">
      <w:pPr>
        <w:pStyle w:val="ListParagraph"/>
        <w:numPr>
          <w:ilvl w:val="5"/>
          <w:numId w:val="3"/>
        </w:numPr>
        <w:tabs>
          <w:tab w:val="left" w:pos="426"/>
        </w:tabs>
        <w:snapToGrid w:val="0"/>
        <w:spacing w:after="120"/>
        <w:ind w:left="851" w:hanging="425"/>
        <w:contextualSpacing w:val="0"/>
        <w:jc w:val="left"/>
        <w:rPr>
          <w:rFonts w:cs="Arial"/>
          <w:b/>
          <w:sz w:val="24"/>
        </w:rPr>
      </w:pPr>
      <w:r w:rsidRPr="00220A07">
        <w:rPr>
          <w:rFonts w:cs="Arial"/>
          <w:sz w:val="24"/>
        </w:rPr>
        <w:t>Risk Champions are identified for eac</w:t>
      </w:r>
      <w:r w:rsidR="00574BA6" w:rsidRPr="00220A07">
        <w:rPr>
          <w:rFonts w:cs="Arial"/>
          <w:sz w:val="24"/>
        </w:rPr>
        <w:t xml:space="preserve">h </w:t>
      </w:r>
      <w:r w:rsidR="00815F7E" w:rsidRPr="00220A07">
        <w:rPr>
          <w:rFonts w:cs="Arial"/>
          <w:sz w:val="24"/>
        </w:rPr>
        <w:t xml:space="preserve">School </w:t>
      </w:r>
      <w:r w:rsidRPr="00220A07">
        <w:rPr>
          <w:rFonts w:cs="Arial"/>
          <w:sz w:val="24"/>
        </w:rPr>
        <w:t xml:space="preserve">and </w:t>
      </w:r>
      <w:r w:rsidR="00574BA6" w:rsidRPr="00220A07">
        <w:rPr>
          <w:rFonts w:cs="Arial"/>
          <w:sz w:val="24"/>
        </w:rPr>
        <w:t>PSD</w:t>
      </w:r>
      <w:r w:rsidR="00815F7E" w:rsidRPr="00220A07">
        <w:rPr>
          <w:rFonts w:cs="Arial"/>
          <w:sz w:val="24"/>
        </w:rPr>
        <w:t>. T</w:t>
      </w:r>
      <w:r w:rsidR="00574BA6" w:rsidRPr="00220A07">
        <w:rPr>
          <w:rFonts w:cs="Arial"/>
          <w:sz w:val="24"/>
        </w:rPr>
        <w:t xml:space="preserve">heir role is to support their </w:t>
      </w:r>
      <w:r w:rsidR="00A1505C">
        <w:rPr>
          <w:rFonts w:cs="Arial"/>
          <w:sz w:val="24"/>
        </w:rPr>
        <w:t>Dean</w:t>
      </w:r>
      <w:r w:rsidR="00A1505C" w:rsidRPr="00220A07">
        <w:rPr>
          <w:rFonts w:cs="Arial"/>
          <w:sz w:val="24"/>
        </w:rPr>
        <w:t xml:space="preserve"> </w:t>
      </w:r>
      <w:r w:rsidR="00815F7E" w:rsidRPr="00220A07">
        <w:rPr>
          <w:rFonts w:cs="Arial"/>
          <w:sz w:val="24"/>
        </w:rPr>
        <w:t xml:space="preserve">of School </w:t>
      </w:r>
      <w:r w:rsidR="00574BA6" w:rsidRPr="00220A07">
        <w:rPr>
          <w:rFonts w:cs="Arial"/>
          <w:sz w:val="24"/>
        </w:rPr>
        <w:t>or D</w:t>
      </w:r>
      <w:r w:rsidRPr="00220A07">
        <w:rPr>
          <w:rFonts w:cs="Arial"/>
          <w:sz w:val="24"/>
        </w:rPr>
        <w:t>irector in identifying and managing risks effectively.</w:t>
      </w:r>
      <w:r w:rsidR="00574BA6" w:rsidRPr="00220A07">
        <w:rPr>
          <w:rFonts w:cs="Arial"/>
          <w:sz w:val="24"/>
        </w:rPr>
        <w:t xml:space="preserve"> </w:t>
      </w:r>
      <w:r w:rsidR="00DB2222" w:rsidRPr="00220A07">
        <w:rPr>
          <w:rFonts w:cs="Arial"/>
          <w:sz w:val="24"/>
        </w:rPr>
        <w:t xml:space="preserve"> They meet quarterly as part of the Risk Champions Working Group to ensure risk management is co-ordinated and works effectively across the institution.</w:t>
      </w:r>
      <w:r w:rsidR="003D2776" w:rsidRPr="00220A07">
        <w:rPr>
          <w:rFonts w:cs="Arial"/>
          <w:sz w:val="24"/>
        </w:rPr>
        <w:t xml:space="preserve"> </w:t>
      </w:r>
      <w:r w:rsidR="00574BA6" w:rsidRPr="00220A07">
        <w:rPr>
          <w:rFonts w:cs="Arial"/>
          <w:sz w:val="24"/>
        </w:rPr>
        <w:t xml:space="preserve"> </w:t>
      </w:r>
      <w:r w:rsidR="007E2C40" w:rsidRPr="00220A07">
        <w:rPr>
          <w:rFonts w:cs="Arial"/>
          <w:sz w:val="24"/>
        </w:rPr>
        <w:t>They are responsible for escalating risks using the line management structure as required</w:t>
      </w:r>
      <w:r w:rsidR="007773AC" w:rsidRPr="00220A07">
        <w:rPr>
          <w:rFonts w:cs="Arial"/>
          <w:sz w:val="24"/>
        </w:rPr>
        <w:t xml:space="preserve"> and ensuring risks associated with fraud are included in risk assessments</w:t>
      </w:r>
      <w:r w:rsidR="007E2C40" w:rsidRPr="00220A07">
        <w:rPr>
          <w:rFonts w:cs="Arial"/>
          <w:sz w:val="24"/>
        </w:rPr>
        <w:t xml:space="preserve">. </w:t>
      </w:r>
      <w:r w:rsidR="00574BA6" w:rsidRPr="00220A07">
        <w:rPr>
          <w:rFonts w:cs="Arial"/>
          <w:sz w:val="24"/>
        </w:rPr>
        <w:t xml:space="preserve"> </w:t>
      </w:r>
      <w:r w:rsidR="00CB25B1" w:rsidRPr="00220A07">
        <w:rPr>
          <w:rFonts w:cs="Arial"/>
          <w:sz w:val="24"/>
        </w:rPr>
        <w:t xml:space="preserve">The </w:t>
      </w:r>
      <w:r w:rsidR="00574BA6" w:rsidRPr="00220A07">
        <w:rPr>
          <w:rFonts w:cs="Arial"/>
          <w:sz w:val="24"/>
        </w:rPr>
        <w:t>S</w:t>
      </w:r>
      <w:r w:rsidR="00815F7E" w:rsidRPr="00220A07">
        <w:rPr>
          <w:rFonts w:cs="Arial"/>
          <w:sz w:val="24"/>
        </w:rPr>
        <w:t>L</w:t>
      </w:r>
      <w:r w:rsidR="00574BA6" w:rsidRPr="00220A07">
        <w:rPr>
          <w:rFonts w:cs="Arial"/>
          <w:sz w:val="24"/>
        </w:rPr>
        <w:t>T</w:t>
      </w:r>
      <w:r w:rsidR="003D2776" w:rsidRPr="00220A07">
        <w:rPr>
          <w:rFonts w:cs="Arial"/>
          <w:sz w:val="24"/>
        </w:rPr>
        <w:t xml:space="preserve"> receives quarterly reports on the management of </w:t>
      </w:r>
      <w:r w:rsidR="0049256D" w:rsidRPr="00220A07">
        <w:rPr>
          <w:rFonts w:cs="Arial"/>
          <w:sz w:val="24"/>
        </w:rPr>
        <w:t>risk from the Risk Champions Working Group</w:t>
      </w:r>
      <w:r w:rsidR="003D2776" w:rsidRPr="00220A07">
        <w:rPr>
          <w:rFonts w:cs="Arial"/>
          <w:sz w:val="24"/>
        </w:rPr>
        <w:t>.</w:t>
      </w:r>
    </w:p>
    <w:p w14:paraId="7C50BB20" w14:textId="238B14AB" w:rsidR="002A1B8E" w:rsidRPr="008540E0" w:rsidRDefault="001D7772" w:rsidP="00B2621A">
      <w:pPr>
        <w:pStyle w:val="ListParagraph"/>
        <w:numPr>
          <w:ilvl w:val="5"/>
          <w:numId w:val="3"/>
        </w:numPr>
        <w:tabs>
          <w:tab w:val="left" w:pos="426"/>
        </w:tabs>
        <w:snapToGrid w:val="0"/>
        <w:spacing w:after="120"/>
        <w:ind w:left="851" w:hanging="425"/>
        <w:contextualSpacing w:val="0"/>
        <w:jc w:val="left"/>
        <w:rPr>
          <w:rFonts w:cs="Arial"/>
          <w:b/>
          <w:sz w:val="24"/>
        </w:rPr>
      </w:pPr>
      <w:r w:rsidRPr="00220A07">
        <w:rPr>
          <w:rFonts w:cs="Arial"/>
          <w:sz w:val="24"/>
        </w:rPr>
        <w:t xml:space="preserve">The </w:t>
      </w:r>
      <w:r w:rsidR="00DB11B8" w:rsidRPr="00220A07">
        <w:rPr>
          <w:rFonts w:cs="Arial"/>
          <w:sz w:val="24"/>
        </w:rPr>
        <w:t xml:space="preserve">Chief </w:t>
      </w:r>
      <w:r w:rsidR="0045282C" w:rsidRPr="00220A07">
        <w:rPr>
          <w:rFonts w:cs="Arial"/>
          <w:sz w:val="24"/>
        </w:rPr>
        <w:t>Operating Officer</w:t>
      </w:r>
      <w:r w:rsidRPr="00220A07">
        <w:rPr>
          <w:rFonts w:cs="Arial"/>
          <w:sz w:val="24"/>
        </w:rPr>
        <w:t xml:space="preserve"> co-ordinates risk management for the University.</w:t>
      </w:r>
    </w:p>
    <w:p w14:paraId="29A4AE01" w14:textId="77777777" w:rsidR="008540E0" w:rsidRPr="00220A07" w:rsidRDefault="008540E0" w:rsidP="008540E0">
      <w:pPr>
        <w:pStyle w:val="ListParagraph"/>
        <w:tabs>
          <w:tab w:val="left" w:pos="426"/>
        </w:tabs>
        <w:snapToGrid w:val="0"/>
        <w:spacing w:after="120"/>
        <w:ind w:left="851" w:firstLine="0"/>
        <w:contextualSpacing w:val="0"/>
        <w:jc w:val="left"/>
        <w:rPr>
          <w:rFonts w:cs="Arial"/>
          <w:b/>
          <w:sz w:val="24"/>
        </w:rPr>
      </w:pPr>
    </w:p>
    <w:p w14:paraId="5A0E1CB2" w14:textId="7A9E5102" w:rsidR="007723A1" w:rsidRDefault="00A86664" w:rsidP="00B2621A">
      <w:pPr>
        <w:pStyle w:val="ListParagraph"/>
        <w:numPr>
          <w:ilvl w:val="1"/>
          <w:numId w:val="6"/>
        </w:numPr>
        <w:tabs>
          <w:tab w:val="left" w:pos="426"/>
        </w:tabs>
        <w:snapToGrid w:val="0"/>
        <w:spacing w:after="240"/>
        <w:ind w:right="-164"/>
        <w:contextualSpacing w:val="0"/>
        <w:jc w:val="left"/>
        <w:rPr>
          <w:rFonts w:cs="Arial"/>
          <w:bCs/>
          <w:sz w:val="24"/>
        </w:rPr>
      </w:pPr>
      <w:r w:rsidRPr="00220A07">
        <w:rPr>
          <w:rFonts w:cs="Arial"/>
          <w:bCs/>
          <w:sz w:val="24"/>
        </w:rPr>
        <w:t xml:space="preserve">The </w:t>
      </w:r>
      <w:r w:rsidR="00CB25B1" w:rsidRPr="00220A07">
        <w:rPr>
          <w:rFonts w:cs="Arial"/>
          <w:bCs/>
          <w:sz w:val="24"/>
        </w:rPr>
        <w:t>roles of the Board of Governors, the</w:t>
      </w:r>
      <w:r w:rsidRPr="00220A07">
        <w:rPr>
          <w:rFonts w:cs="Arial"/>
          <w:bCs/>
          <w:sz w:val="24"/>
        </w:rPr>
        <w:t xml:space="preserve"> </w:t>
      </w:r>
      <w:r w:rsidR="00CB25B1" w:rsidRPr="00220A07">
        <w:rPr>
          <w:rFonts w:cs="Arial"/>
          <w:bCs/>
          <w:sz w:val="24"/>
        </w:rPr>
        <w:t xml:space="preserve">Audit </w:t>
      </w:r>
      <w:r w:rsidR="00A1505C">
        <w:rPr>
          <w:rFonts w:cs="Arial"/>
          <w:bCs/>
          <w:sz w:val="24"/>
        </w:rPr>
        <w:t xml:space="preserve">and Risk </w:t>
      </w:r>
      <w:r w:rsidR="00CB25B1" w:rsidRPr="00220A07">
        <w:rPr>
          <w:rFonts w:cs="Arial"/>
          <w:bCs/>
          <w:sz w:val="24"/>
        </w:rPr>
        <w:t>Committee,</w:t>
      </w:r>
      <w:r w:rsidR="004A0C56" w:rsidRPr="00220A07">
        <w:rPr>
          <w:rFonts w:cs="Arial"/>
          <w:bCs/>
          <w:sz w:val="24"/>
        </w:rPr>
        <w:t xml:space="preserve"> </w:t>
      </w:r>
      <w:r w:rsidR="00574BA6" w:rsidRPr="00220A07">
        <w:rPr>
          <w:rFonts w:cs="Arial"/>
          <w:bCs/>
          <w:sz w:val="24"/>
        </w:rPr>
        <w:t xml:space="preserve">the </w:t>
      </w:r>
      <w:r w:rsidR="004A0C56" w:rsidRPr="00220A07">
        <w:rPr>
          <w:rFonts w:cs="Arial"/>
          <w:bCs/>
          <w:sz w:val="24"/>
        </w:rPr>
        <w:t xml:space="preserve">Senior </w:t>
      </w:r>
      <w:r w:rsidR="00815F7E" w:rsidRPr="00220A07">
        <w:rPr>
          <w:rFonts w:cs="Arial"/>
          <w:bCs/>
          <w:sz w:val="24"/>
        </w:rPr>
        <w:t xml:space="preserve">Leadership </w:t>
      </w:r>
      <w:proofErr w:type="gramStart"/>
      <w:r w:rsidR="00CB25B1" w:rsidRPr="00220A07">
        <w:rPr>
          <w:rFonts w:cs="Arial"/>
          <w:bCs/>
          <w:sz w:val="24"/>
        </w:rPr>
        <w:t>Team,</w:t>
      </w:r>
      <w:r w:rsidR="00574BA6" w:rsidRPr="00220A07">
        <w:rPr>
          <w:rFonts w:cs="Arial"/>
          <w:bCs/>
          <w:sz w:val="24"/>
        </w:rPr>
        <w:t xml:space="preserve"> </w:t>
      </w:r>
      <w:r w:rsidR="00A1505C">
        <w:rPr>
          <w:rFonts w:cs="Arial"/>
          <w:bCs/>
          <w:sz w:val="24"/>
        </w:rPr>
        <w:t xml:space="preserve"> Deans</w:t>
      </w:r>
      <w:proofErr w:type="gramEnd"/>
      <w:r w:rsidR="00574BA6" w:rsidRPr="00220A07">
        <w:rPr>
          <w:rFonts w:cs="Arial"/>
          <w:bCs/>
          <w:sz w:val="24"/>
        </w:rPr>
        <w:t xml:space="preserve"> and Professional Service D</w:t>
      </w:r>
      <w:r w:rsidR="00CB25B1" w:rsidRPr="00220A07">
        <w:rPr>
          <w:rFonts w:cs="Arial"/>
          <w:bCs/>
          <w:sz w:val="24"/>
        </w:rPr>
        <w:t>irectors,</w:t>
      </w:r>
      <w:r w:rsidRPr="00220A07">
        <w:rPr>
          <w:rFonts w:cs="Arial"/>
          <w:bCs/>
          <w:sz w:val="24"/>
        </w:rPr>
        <w:t xml:space="preserve"> </w:t>
      </w:r>
      <w:r w:rsidR="00574BA6" w:rsidRPr="00220A07">
        <w:rPr>
          <w:rFonts w:cs="Arial"/>
          <w:bCs/>
          <w:sz w:val="24"/>
        </w:rPr>
        <w:t xml:space="preserve">the </w:t>
      </w:r>
      <w:r w:rsidRPr="00220A07">
        <w:rPr>
          <w:rFonts w:cs="Arial"/>
          <w:bCs/>
          <w:sz w:val="24"/>
        </w:rPr>
        <w:t xml:space="preserve">Risk Champions </w:t>
      </w:r>
      <w:r w:rsidR="0049256D" w:rsidRPr="00220A07">
        <w:rPr>
          <w:rFonts w:cs="Arial"/>
          <w:bCs/>
          <w:sz w:val="24"/>
        </w:rPr>
        <w:t xml:space="preserve">Working </w:t>
      </w:r>
      <w:r w:rsidR="00CB25B1" w:rsidRPr="00220A07">
        <w:rPr>
          <w:rFonts w:cs="Arial"/>
          <w:bCs/>
          <w:sz w:val="24"/>
        </w:rPr>
        <w:t>Group</w:t>
      </w:r>
      <w:r w:rsidRPr="00220A07">
        <w:rPr>
          <w:rFonts w:cs="Arial"/>
          <w:bCs/>
          <w:sz w:val="24"/>
        </w:rPr>
        <w:t xml:space="preserve"> and the </w:t>
      </w:r>
      <w:r w:rsidR="00DB11B8" w:rsidRPr="00220A07">
        <w:rPr>
          <w:rFonts w:cs="Arial"/>
          <w:bCs/>
          <w:sz w:val="24"/>
        </w:rPr>
        <w:t xml:space="preserve">Chief </w:t>
      </w:r>
      <w:r w:rsidR="0045282C" w:rsidRPr="00220A07">
        <w:rPr>
          <w:rFonts w:cs="Arial"/>
          <w:bCs/>
          <w:sz w:val="24"/>
        </w:rPr>
        <w:t>Operating Officer</w:t>
      </w:r>
      <w:r w:rsidRPr="00220A07">
        <w:rPr>
          <w:rFonts w:cs="Arial"/>
          <w:bCs/>
          <w:sz w:val="24"/>
        </w:rPr>
        <w:t xml:space="preserve"> are to support the institution in the achievement of the </w:t>
      </w:r>
      <w:r w:rsidR="00815F7E" w:rsidRPr="00220A07">
        <w:rPr>
          <w:rFonts w:cs="Arial"/>
          <w:bCs/>
          <w:sz w:val="24"/>
        </w:rPr>
        <w:t>S</w:t>
      </w:r>
      <w:r w:rsidRPr="00220A07">
        <w:rPr>
          <w:rFonts w:cs="Arial"/>
          <w:bCs/>
          <w:sz w:val="24"/>
        </w:rPr>
        <w:t xml:space="preserve">trategic </w:t>
      </w:r>
      <w:r w:rsidR="00815F7E" w:rsidRPr="00220A07">
        <w:rPr>
          <w:rFonts w:cs="Arial"/>
          <w:bCs/>
          <w:sz w:val="24"/>
        </w:rPr>
        <w:t>P</w:t>
      </w:r>
      <w:r w:rsidRPr="00220A07">
        <w:rPr>
          <w:rFonts w:cs="Arial"/>
          <w:bCs/>
          <w:sz w:val="24"/>
        </w:rPr>
        <w:t xml:space="preserve">lan with the effective use of the risk management policy and process. </w:t>
      </w:r>
      <w:r w:rsidR="00CE7E99" w:rsidRPr="00220A07">
        <w:rPr>
          <w:rFonts w:cs="Arial"/>
          <w:bCs/>
          <w:sz w:val="24"/>
        </w:rPr>
        <w:t xml:space="preserve"> </w:t>
      </w:r>
      <w:r w:rsidRPr="00220A07">
        <w:rPr>
          <w:rFonts w:cs="Arial"/>
          <w:bCs/>
          <w:sz w:val="24"/>
        </w:rPr>
        <w:t xml:space="preserve">These roles are </w:t>
      </w:r>
      <w:r w:rsidR="00604CB7" w:rsidRPr="00220A07">
        <w:rPr>
          <w:rFonts w:cs="Arial"/>
          <w:bCs/>
          <w:sz w:val="24"/>
        </w:rPr>
        <w:t>elaborated in A</w:t>
      </w:r>
      <w:r w:rsidR="001724AA" w:rsidRPr="00220A07">
        <w:rPr>
          <w:rFonts w:cs="Arial"/>
          <w:bCs/>
          <w:sz w:val="24"/>
        </w:rPr>
        <w:t>ppendix</w:t>
      </w:r>
      <w:r w:rsidR="00604CB7" w:rsidRPr="00220A07">
        <w:rPr>
          <w:rFonts w:cs="Arial"/>
          <w:bCs/>
          <w:sz w:val="24"/>
        </w:rPr>
        <w:t xml:space="preserve"> </w:t>
      </w:r>
      <w:r w:rsidR="001724AA" w:rsidRPr="00220A07">
        <w:rPr>
          <w:rFonts w:cs="Arial"/>
          <w:bCs/>
          <w:sz w:val="24"/>
        </w:rPr>
        <w:t>B</w:t>
      </w:r>
      <w:r w:rsidR="00CE7E99" w:rsidRPr="00220A07">
        <w:rPr>
          <w:rFonts w:cs="Arial"/>
          <w:bCs/>
          <w:sz w:val="24"/>
        </w:rPr>
        <w:t>.</w:t>
      </w:r>
    </w:p>
    <w:p w14:paraId="073A85F7" w14:textId="51C8F326" w:rsidR="00E474D8" w:rsidRDefault="00CE007B" w:rsidP="00B2621A">
      <w:pPr>
        <w:pStyle w:val="Heading1"/>
        <w:numPr>
          <w:ilvl w:val="0"/>
          <w:numId w:val="19"/>
        </w:numPr>
      </w:pPr>
      <w:r>
        <w:lastRenderedPageBreak/>
        <w:t xml:space="preserve">Internal Control </w:t>
      </w:r>
    </w:p>
    <w:p w14:paraId="2524CE26" w14:textId="77777777" w:rsidR="00CE007B" w:rsidRPr="0050318D" w:rsidRDefault="00CE007B" w:rsidP="0050318D">
      <w:pPr>
        <w:ind w:left="0" w:firstLine="0"/>
        <w:rPr>
          <w:sz w:val="24"/>
          <w:lang w:eastAsia="zh-CN"/>
        </w:rPr>
      </w:pPr>
    </w:p>
    <w:p w14:paraId="5C8F40AE" w14:textId="7DC12424" w:rsidR="00BD71BA" w:rsidRPr="00220A07" w:rsidRDefault="00BD71BA" w:rsidP="00E474D8">
      <w:pPr>
        <w:spacing w:after="120" w:line="240" w:lineRule="auto"/>
        <w:ind w:left="426" w:firstLine="0"/>
        <w:contextualSpacing/>
        <w:jc w:val="left"/>
        <w:rPr>
          <w:rFonts w:cs="Arial"/>
          <w:sz w:val="24"/>
        </w:rPr>
      </w:pPr>
      <w:r w:rsidRPr="00220A07">
        <w:rPr>
          <w:rFonts w:cs="Arial"/>
          <w:sz w:val="24"/>
        </w:rPr>
        <w:t xml:space="preserve">The Board of Governors is responsible for ensuring a sound system of internal control to support the University’s policies and objectives. </w:t>
      </w:r>
      <w:r w:rsidR="00163568" w:rsidRPr="00163568">
        <w:rPr>
          <w:rFonts w:cs="Arial"/>
          <w:color w:val="333333"/>
          <w:sz w:val="24"/>
          <w:shd w:val="clear" w:color="auto" w:fill="FFFFFF"/>
        </w:rPr>
        <w:t xml:space="preserve"> In accordance with the Office for Student’s Regulatory Framework, the governing body ensures that there are adequate and effective arrangements in place to ensure public funds are managed appropriately, in line with the conditions of grant and the principles of regularity, propriety and value for money, and to protect the interests of taxpayers and other stakeholders. This also applies to any funds passed to another entity for the provision of facilities or learning and teaching, or for research to be undertaken.</w:t>
      </w:r>
    </w:p>
    <w:p w14:paraId="7EB13E0E" w14:textId="77777777" w:rsidR="00BD71BA" w:rsidRPr="00220A07" w:rsidRDefault="00BD71BA" w:rsidP="00EF7F1A">
      <w:pPr>
        <w:spacing w:after="120" w:line="240" w:lineRule="auto"/>
        <w:ind w:left="426"/>
        <w:contextualSpacing/>
        <w:jc w:val="left"/>
        <w:rPr>
          <w:rFonts w:cs="Arial"/>
          <w:sz w:val="24"/>
        </w:rPr>
      </w:pPr>
    </w:p>
    <w:p w14:paraId="70A6A009" w14:textId="77777777" w:rsidR="00BD71BA" w:rsidRPr="00220A07" w:rsidRDefault="00BD71BA" w:rsidP="00EF7F1A">
      <w:pPr>
        <w:spacing w:after="120" w:line="240" w:lineRule="auto"/>
        <w:ind w:left="426" w:firstLine="0"/>
        <w:contextualSpacing/>
        <w:jc w:val="left"/>
        <w:rPr>
          <w:rFonts w:cs="Arial"/>
          <w:sz w:val="24"/>
        </w:rPr>
      </w:pPr>
      <w:r w:rsidRPr="00220A07">
        <w:rPr>
          <w:rFonts w:cs="Arial"/>
          <w:sz w:val="24"/>
        </w:rPr>
        <w:t>Internal control is designed to manage rather than eliminate the risk of failing to achieve business objectives. It can only provide reasonable, not absolute, assurance against material misstatement or loss. It is also designed to prevent and detect fraud and other irregularities.</w:t>
      </w:r>
    </w:p>
    <w:p w14:paraId="43566A56" w14:textId="77777777" w:rsidR="00BD71BA" w:rsidRPr="00220A07" w:rsidRDefault="00BD71BA" w:rsidP="00EF7F1A">
      <w:pPr>
        <w:pStyle w:val="LMUColour"/>
        <w:pBdr>
          <w:bottom w:val="none" w:sz="0" w:space="0" w:color="auto"/>
        </w:pBdr>
        <w:ind w:left="426"/>
        <w:jc w:val="left"/>
        <w:rPr>
          <w:b w:val="0"/>
          <w:color w:val="auto"/>
          <w:sz w:val="24"/>
          <w:szCs w:val="24"/>
        </w:rPr>
      </w:pPr>
      <w:r w:rsidRPr="00220A07">
        <w:rPr>
          <w:b w:val="0"/>
          <w:color w:val="auto"/>
          <w:sz w:val="24"/>
          <w:szCs w:val="24"/>
        </w:rPr>
        <w:t>Our Internal Auditors assist the University in maintaining effective controls by evaluating the effectiveness, efficiency of controls and promoting continuous improvement. </w:t>
      </w:r>
    </w:p>
    <w:p w14:paraId="653A42D3" w14:textId="77777777" w:rsidR="00BD71BA" w:rsidRPr="00220A07" w:rsidRDefault="00BD71BA" w:rsidP="00EF7F1A">
      <w:pPr>
        <w:spacing w:after="120" w:line="240" w:lineRule="auto"/>
        <w:ind w:left="426" w:firstLine="0"/>
        <w:contextualSpacing/>
        <w:jc w:val="left"/>
        <w:rPr>
          <w:rFonts w:cs="Arial"/>
          <w:sz w:val="24"/>
        </w:rPr>
      </w:pPr>
      <w:r w:rsidRPr="00220A07">
        <w:rPr>
          <w:rFonts w:cs="Arial"/>
          <w:sz w:val="24"/>
        </w:rPr>
        <w:t xml:space="preserve">Our external auditors ensure that the University’s internal controls, processes, guidelines and polices are adequate, effective and </w:t>
      </w:r>
      <w:proofErr w:type="gramStart"/>
      <w:r w:rsidRPr="00220A07">
        <w:rPr>
          <w:rFonts w:cs="Arial"/>
          <w:sz w:val="24"/>
        </w:rPr>
        <w:t>are in compliance with</w:t>
      </w:r>
      <w:proofErr w:type="gramEnd"/>
      <w:r w:rsidRPr="00220A07">
        <w:rPr>
          <w:rFonts w:cs="Arial"/>
          <w:sz w:val="24"/>
        </w:rPr>
        <w:t xml:space="preserve"> governmental requirements, industry standards and company policies.</w:t>
      </w:r>
    </w:p>
    <w:p w14:paraId="072293D7" w14:textId="0793ED7E" w:rsidR="00BD71BA" w:rsidRPr="00220A07" w:rsidRDefault="00BD71BA" w:rsidP="00EF7F1A">
      <w:pPr>
        <w:pStyle w:val="LMUColour"/>
        <w:pBdr>
          <w:bottom w:val="none" w:sz="0" w:space="0" w:color="auto"/>
        </w:pBdr>
        <w:ind w:left="426"/>
        <w:jc w:val="left"/>
        <w:rPr>
          <w:color w:val="auto"/>
          <w:sz w:val="24"/>
          <w:szCs w:val="24"/>
        </w:rPr>
      </w:pPr>
      <w:r w:rsidRPr="00220A07">
        <w:rPr>
          <w:b w:val="0"/>
          <w:color w:val="auto"/>
          <w:sz w:val="24"/>
          <w:szCs w:val="24"/>
        </w:rPr>
        <w:t xml:space="preserve">The system of internal control is informed by a continuous process to identify, evaluate and manage the University’s significant risks, linked to the achievement of institutional objectives. </w:t>
      </w:r>
    </w:p>
    <w:p w14:paraId="548E43E5" w14:textId="77777777" w:rsidR="00BD71BA" w:rsidRPr="00220A07" w:rsidRDefault="00BD71BA" w:rsidP="00BD71BA">
      <w:pPr>
        <w:spacing w:after="120" w:line="240" w:lineRule="auto"/>
        <w:ind w:left="426" w:firstLine="0"/>
        <w:contextualSpacing/>
        <w:rPr>
          <w:rFonts w:cs="Arial"/>
          <w:sz w:val="24"/>
        </w:rPr>
      </w:pPr>
      <w:r w:rsidRPr="00220A07">
        <w:rPr>
          <w:rFonts w:cs="Arial"/>
          <w:sz w:val="24"/>
        </w:rPr>
        <w:t>The effectiveness of the system of internal control is assessed in the following ways:</w:t>
      </w:r>
    </w:p>
    <w:p w14:paraId="70CF8925" w14:textId="77777777" w:rsidR="00BD71BA" w:rsidRPr="00220A07" w:rsidRDefault="00BD71BA" w:rsidP="00BD71BA">
      <w:pPr>
        <w:spacing w:after="120" w:line="240" w:lineRule="auto"/>
        <w:ind w:left="426"/>
        <w:contextualSpacing/>
        <w:rPr>
          <w:rFonts w:cs="Arial"/>
          <w:sz w:val="24"/>
        </w:rPr>
      </w:pPr>
    </w:p>
    <w:p w14:paraId="64CD524A" w14:textId="22BD1410" w:rsidR="00BD71BA" w:rsidRPr="00220A07" w:rsidRDefault="00BD71BA" w:rsidP="00B2621A">
      <w:pPr>
        <w:numPr>
          <w:ilvl w:val="0"/>
          <w:numId w:val="7"/>
        </w:numPr>
        <w:spacing w:after="120" w:line="240" w:lineRule="auto"/>
        <w:ind w:left="426" w:hanging="567"/>
        <w:jc w:val="left"/>
        <w:rPr>
          <w:rFonts w:cs="Arial"/>
          <w:sz w:val="24"/>
        </w:rPr>
      </w:pPr>
      <w:r w:rsidRPr="00220A07">
        <w:rPr>
          <w:rFonts w:cs="Arial"/>
          <w:sz w:val="24"/>
        </w:rPr>
        <w:t xml:space="preserve">The Board receives regular progress reports on Risk Management and confirms there is a clear policy and plan of risk management, which has been communicated to the Schools and Professional Service Departments (PSDs). </w:t>
      </w:r>
    </w:p>
    <w:p w14:paraId="33DAD8D8" w14:textId="475BBEAF" w:rsidR="00BD71BA" w:rsidRPr="00220A07" w:rsidRDefault="00BD71BA" w:rsidP="00B2621A">
      <w:pPr>
        <w:numPr>
          <w:ilvl w:val="0"/>
          <w:numId w:val="7"/>
        </w:numPr>
        <w:spacing w:after="120" w:line="240" w:lineRule="auto"/>
        <w:ind w:left="426" w:hanging="567"/>
        <w:jc w:val="left"/>
        <w:rPr>
          <w:rFonts w:cs="Arial"/>
          <w:sz w:val="24"/>
        </w:rPr>
      </w:pPr>
      <w:r w:rsidRPr="00220A07">
        <w:rPr>
          <w:rFonts w:cs="Arial"/>
          <w:sz w:val="24"/>
        </w:rPr>
        <w:t xml:space="preserve">The Corporate Risk Register is updated throughout the year and identifies the main risk owners and risk-mitigating actions.  Risks are scored by likelihood and impact and are ranked accordingly.  Risk registers are also maintained for each School and major PSD. The University has a ‘Risk Champions’ group of staff involved in maintaining local risk registers which meets quarterly. A report of the Risk Champions group is submitted to the Audit </w:t>
      </w:r>
      <w:r w:rsidR="00027FCB">
        <w:rPr>
          <w:rFonts w:cs="Arial"/>
          <w:sz w:val="24"/>
        </w:rPr>
        <w:t xml:space="preserve">and Risk </w:t>
      </w:r>
      <w:proofErr w:type="gramStart"/>
      <w:r w:rsidRPr="00220A07">
        <w:rPr>
          <w:rFonts w:cs="Arial"/>
          <w:sz w:val="24"/>
        </w:rPr>
        <w:t>Committee</w:t>
      </w:r>
      <w:proofErr w:type="gramEnd"/>
      <w:r w:rsidRPr="00220A07">
        <w:rPr>
          <w:rFonts w:cs="Arial"/>
          <w:sz w:val="24"/>
        </w:rPr>
        <w:t xml:space="preserve"> and minutes of the Risk Champions group are reported to the Senior Leadership Team</w:t>
      </w:r>
      <w:r w:rsidR="00027FCB">
        <w:rPr>
          <w:rFonts w:cs="Arial"/>
          <w:sz w:val="24"/>
        </w:rPr>
        <w:t xml:space="preserve">, along with the report to the Audit and Risk </w:t>
      </w:r>
      <w:proofErr w:type="gramStart"/>
      <w:r w:rsidR="00027FCB">
        <w:rPr>
          <w:rFonts w:cs="Arial"/>
          <w:sz w:val="24"/>
        </w:rPr>
        <w:t>Committee</w:t>
      </w:r>
      <w:r w:rsidRPr="00220A07">
        <w:rPr>
          <w:rFonts w:cs="Arial"/>
          <w:sz w:val="24"/>
        </w:rPr>
        <w:t>;</w:t>
      </w:r>
      <w:proofErr w:type="gramEnd"/>
      <w:r w:rsidRPr="00220A07">
        <w:rPr>
          <w:rFonts w:cs="Arial"/>
          <w:sz w:val="24"/>
        </w:rPr>
        <w:t xml:space="preserve"> </w:t>
      </w:r>
    </w:p>
    <w:p w14:paraId="6DBDA8E3" w14:textId="5EDCB7A8" w:rsidR="00BD71BA" w:rsidRPr="00220A07" w:rsidRDefault="00BD71BA" w:rsidP="00B2621A">
      <w:pPr>
        <w:numPr>
          <w:ilvl w:val="0"/>
          <w:numId w:val="7"/>
        </w:numPr>
        <w:spacing w:after="120" w:line="240" w:lineRule="auto"/>
        <w:ind w:left="426" w:hanging="567"/>
        <w:jc w:val="left"/>
        <w:rPr>
          <w:rFonts w:cs="Arial"/>
          <w:sz w:val="24"/>
        </w:rPr>
      </w:pPr>
      <w:r w:rsidRPr="00220A07">
        <w:rPr>
          <w:rFonts w:cs="Arial"/>
          <w:sz w:val="24"/>
        </w:rPr>
        <w:t xml:space="preserve">The Board and Audit </w:t>
      </w:r>
      <w:r w:rsidR="00027FCB">
        <w:rPr>
          <w:rFonts w:cs="Arial"/>
          <w:sz w:val="24"/>
        </w:rPr>
        <w:t xml:space="preserve">and Risk </w:t>
      </w:r>
      <w:r w:rsidRPr="00220A07">
        <w:rPr>
          <w:rFonts w:cs="Arial"/>
          <w:sz w:val="24"/>
        </w:rPr>
        <w:t xml:space="preserve">Committee </w:t>
      </w:r>
      <w:r w:rsidR="00076779" w:rsidRPr="00220A07">
        <w:rPr>
          <w:rFonts w:cs="Arial"/>
          <w:sz w:val="24"/>
        </w:rPr>
        <w:t>are</w:t>
      </w:r>
      <w:r w:rsidRPr="00220A07">
        <w:rPr>
          <w:rFonts w:cs="Arial"/>
          <w:sz w:val="24"/>
        </w:rPr>
        <w:t xml:space="preserve"> regularly updated regarding the review of the Corporate Risk Register and revisions to the Universities risk management </w:t>
      </w:r>
      <w:proofErr w:type="gramStart"/>
      <w:r w:rsidRPr="00220A07">
        <w:rPr>
          <w:rFonts w:cs="Arial"/>
          <w:sz w:val="24"/>
        </w:rPr>
        <w:t>procedures;</w:t>
      </w:r>
      <w:proofErr w:type="gramEnd"/>
    </w:p>
    <w:p w14:paraId="2005052D" w14:textId="22BD91E1" w:rsidR="00BD71BA" w:rsidRPr="00220A07" w:rsidRDefault="00BD71BA" w:rsidP="00B2621A">
      <w:pPr>
        <w:numPr>
          <w:ilvl w:val="0"/>
          <w:numId w:val="7"/>
        </w:numPr>
        <w:spacing w:after="120" w:line="240" w:lineRule="auto"/>
        <w:ind w:left="426" w:hanging="567"/>
        <w:jc w:val="left"/>
        <w:rPr>
          <w:rFonts w:cs="Arial"/>
          <w:sz w:val="24"/>
        </w:rPr>
      </w:pPr>
      <w:r w:rsidRPr="00220A07">
        <w:rPr>
          <w:rFonts w:cs="Arial"/>
          <w:sz w:val="24"/>
        </w:rPr>
        <w:t xml:space="preserve">The Senior Leadership Team </w:t>
      </w:r>
      <w:r w:rsidR="00076779" w:rsidRPr="00220A07">
        <w:rPr>
          <w:rFonts w:cs="Arial"/>
          <w:sz w:val="24"/>
        </w:rPr>
        <w:t>conducts a quarterly review of the Corporate Risk Register</w:t>
      </w:r>
      <w:r w:rsidRPr="00220A07">
        <w:rPr>
          <w:rFonts w:cs="Arial"/>
          <w:sz w:val="24"/>
        </w:rPr>
        <w:t xml:space="preserve">. The Chief </w:t>
      </w:r>
      <w:r w:rsidR="0045282C" w:rsidRPr="00220A07">
        <w:rPr>
          <w:rFonts w:cs="Arial"/>
          <w:sz w:val="24"/>
        </w:rPr>
        <w:t>Operating Officer</w:t>
      </w:r>
      <w:r w:rsidRPr="00220A07">
        <w:rPr>
          <w:rFonts w:cs="Arial"/>
          <w:sz w:val="24"/>
        </w:rPr>
        <w:t xml:space="preserve"> is the member of the Senior Leadership Team with lead responsibility for risk </w:t>
      </w:r>
      <w:proofErr w:type="gramStart"/>
      <w:r w:rsidRPr="00220A07">
        <w:rPr>
          <w:rFonts w:cs="Arial"/>
          <w:sz w:val="24"/>
        </w:rPr>
        <w:t>management;</w:t>
      </w:r>
      <w:proofErr w:type="gramEnd"/>
      <w:r w:rsidRPr="00220A07">
        <w:rPr>
          <w:rFonts w:cs="Arial"/>
          <w:sz w:val="24"/>
        </w:rPr>
        <w:t xml:space="preserve">  </w:t>
      </w:r>
    </w:p>
    <w:p w14:paraId="7BA45ACC" w14:textId="79376829" w:rsidR="00BD71BA" w:rsidRPr="00220A07" w:rsidRDefault="00BD71BA" w:rsidP="00B2621A">
      <w:pPr>
        <w:numPr>
          <w:ilvl w:val="0"/>
          <w:numId w:val="7"/>
        </w:numPr>
        <w:spacing w:after="120" w:line="240" w:lineRule="auto"/>
        <w:ind w:left="426" w:hanging="567"/>
        <w:jc w:val="left"/>
        <w:rPr>
          <w:rFonts w:cs="Arial"/>
          <w:sz w:val="24"/>
        </w:rPr>
      </w:pPr>
      <w:r w:rsidRPr="00220A07">
        <w:rPr>
          <w:rFonts w:cs="Arial"/>
          <w:sz w:val="24"/>
        </w:rPr>
        <w:lastRenderedPageBreak/>
        <w:t>The Audit</w:t>
      </w:r>
      <w:r w:rsidR="00027FCB">
        <w:rPr>
          <w:rFonts w:cs="Arial"/>
          <w:sz w:val="24"/>
        </w:rPr>
        <w:t xml:space="preserve"> and Risk</w:t>
      </w:r>
      <w:r w:rsidRPr="00220A07">
        <w:rPr>
          <w:rFonts w:cs="Arial"/>
          <w:sz w:val="24"/>
        </w:rPr>
        <w:t xml:space="preserve"> Committee </w:t>
      </w:r>
      <w:proofErr w:type="gramStart"/>
      <w:r w:rsidRPr="00220A07">
        <w:rPr>
          <w:rFonts w:cs="Arial"/>
          <w:sz w:val="24"/>
        </w:rPr>
        <w:t>oversees</w:t>
      </w:r>
      <w:proofErr w:type="gramEnd"/>
      <w:r w:rsidRPr="00220A07">
        <w:rPr>
          <w:rFonts w:cs="Arial"/>
          <w:sz w:val="24"/>
        </w:rPr>
        <w:t xml:space="preserve"> the arrangements for risk management and at each meeting receives a report on the Corporate Risk Register as well as a report on the risk management processes in place in Schools and PSDs.  Members of the Board receive a report of each meeting of the Audit </w:t>
      </w:r>
      <w:r w:rsidR="00027FCB">
        <w:rPr>
          <w:rFonts w:cs="Arial"/>
          <w:sz w:val="24"/>
        </w:rPr>
        <w:t xml:space="preserve">and Risk </w:t>
      </w:r>
      <w:proofErr w:type="gramStart"/>
      <w:r w:rsidRPr="00220A07">
        <w:rPr>
          <w:rFonts w:cs="Arial"/>
          <w:sz w:val="24"/>
        </w:rPr>
        <w:t>Committee;</w:t>
      </w:r>
      <w:proofErr w:type="gramEnd"/>
    </w:p>
    <w:p w14:paraId="6B3C40F0" w14:textId="4BC27535" w:rsidR="00BD71BA" w:rsidRPr="00220A07" w:rsidRDefault="00BD71BA" w:rsidP="00B2621A">
      <w:pPr>
        <w:numPr>
          <w:ilvl w:val="0"/>
          <w:numId w:val="7"/>
        </w:numPr>
        <w:spacing w:after="120" w:line="240" w:lineRule="auto"/>
        <w:ind w:left="426" w:hanging="567"/>
        <w:jc w:val="left"/>
        <w:rPr>
          <w:rFonts w:cs="Arial"/>
          <w:sz w:val="24"/>
        </w:rPr>
      </w:pPr>
      <w:r w:rsidRPr="00220A07">
        <w:rPr>
          <w:rFonts w:cs="Arial"/>
          <w:sz w:val="24"/>
        </w:rPr>
        <w:t xml:space="preserve">Each year the Audit </w:t>
      </w:r>
      <w:r w:rsidR="00027FCB">
        <w:rPr>
          <w:rFonts w:cs="Arial"/>
          <w:sz w:val="24"/>
        </w:rPr>
        <w:t xml:space="preserve">and Risk </w:t>
      </w:r>
      <w:r w:rsidRPr="00220A07">
        <w:rPr>
          <w:rFonts w:cs="Arial"/>
          <w:sz w:val="24"/>
        </w:rPr>
        <w:t xml:space="preserve">Committee approves a programme of specific internal audits for the following year. The programme of internal audit is based around a structured assessment of system risks within the University’s operations and is reviewed in-year to ensure that emerging issues are </w:t>
      </w:r>
      <w:proofErr w:type="gramStart"/>
      <w:r w:rsidRPr="00220A07">
        <w:rPr>
          <w:rFonts w:cs="Arial"/>
          <w:sz w:val="24"/>
        </w:rPr>
        <w:t>addressed;</w:t>
      </w:r>
      <w:proofErr w:type="gramEnd"/>
    </w:p>
    <w:p w14:paraId="019428B5" w14:textId="71DB59F3" w:rsidR="00BD71BA" w:rsidRPr="00220A07" w:rsidRDefault="00BD71BA" w:rsidP="00B2621A">
      <w:pPr>
        <w:pStyle w:val="ListParagraph"/>
        <w:numPr>
          <w:ilvl w:val="0"/>
          <w:numId w:val="7"/>
        </w:numPr>
        <w:spacing w:after="120" w:line="240" w:lineRule="auto"/>
        <w:ind w:left="426" w:hanging="567"/>
        <w:contextualSpacing w:val="0"/>
        <w:jc w:val="left"/>
        <w:rPr>
          <w:rFonts w:cs="Arial"/>
          <w:sz w:val="24"/>
        </w:rPr>
      </w:pPr>
      <w:r w:rsidRPr="00220A07">
        <w:rPr>
          <w:rFonts w:cs="Arial"/>
          <w:sz w:val="24"/>
        </w:rPr>
        <w:t>The Audit</w:t>
      </w:r>
      <w:r w:rsidR="00027FCB">
        <w:rPr>
          <w:rFonts w:cs="Arial"/>
          <w:sz w:val="24"/>
        </w:rPr>
        <w:t xml:space="preserve"> and Risk</w:t>
      </w:r>
      <w:r w:rsidRPr="00220A07">
        <w:rPr>
          <w:rFonts w:cs="Arial"/>
          <w:sz w:val="24"/>
        </w:rPr>
        <w:t xml:space="preserve"> Committee </w:t>
      </w:r>
      <w:proofErr w:type="gramStart"/>
      <w:r w:rsidRPr="00220A07">
        <w:rPr>
          <w:rFonts w:cs="Arial"/>
          <w:sz w:val="24"/>
        </w:rPr>
        <w:t>receives</w:t>
      </w:r>
      <w:proofErr w:type="gramEnd"/>
      <w:r w:rsidRPr="00220A07">
        <w:rPr>
          <w:rFonts w:cs="Arial"/>
          <w:sz w:val="24"/>
        </w:rPr>
        <w:t xml:space="preserve"> reports from the internal auditors at each meeting. These reports provide an independent opinion of the adequacy and effectiveness of the University’s arrangements for risk management and the internal control systems, together with appropriate recommendations. The internal auditors also report as a matter of course on the progress made in implementing recommendations from previous </w:t>
      </w:r>
      <w:proofErr w:type="gramStart"/>
      <w:r w:rsidRPr="00220A07">
        <w:rPr>
          <w:rFonts w:cs="Arial"/>
          <w:sz w:val="24"/>
        </w:rPr>
        <w:t>reports;</w:t>
      </w:r>
      <w:proofErr w:type="gramEnd"/>
      <w:r w:rsidRPr="00220A07">
        <w:rPr>
          <w:rFonts w:cs="Arial"/>
          <w:sz w:val="24"/>
        </w:rPr>
        <w:t xml:space="preserve"> </w:t>
      </w:r>
    </w:p>
    <w:p w14:paraId="2BEA626D" w14:textId="4A015EEE" w:rsidR="00BD71BA" w:rsidRPr="00220A07" w:rsidRDefault="00BD71BA" w:rsidP="00B2621A">
      <w:pPr>
        <w:pStyle w:val="ListParagraph"/>
        <w:numPr>
          <w:ilvl w:val="0"/>
          <w:numId w:val="7"/>
        </w:numPr>
        <w:spacing w:after="120" w:line="240" w:lineRule="auto"/>
        <w:ind w:left="426" w:hanging="567"/>
        <w:contextualSpacing w:val="0"/>
        <w:jc w:val="left"/>
        <w:rPr>
          <w:rFonts w:cs="Arial"/>
          <w:sz w:val="24"/>
        </w:rPr>
      </w:pPr>
      <w:r w:rsidRPr="00220A07">
        <w:rPr>
          <w:rFonts w:cs="Arial"/>
          <w:sz w:val="24"/>
        </w:rPr>
        <w:t xml:space="preserve">The Audit </w:t>
      </w:r>
      <w:r w:rsidR="00027FCB">
        <w:rPr>
          <w:rFonts w:cs="Arial"/>
          <w:sz w:val="24"/>
        </w:rPr>
        <w:t xml:space="preserve">and Risk </w:t>
      </w:r>
      <w:r w:rsidRPr="00220A07">
        <w:rPr>
          <w:rFonts w:cs="Arial"/>
          <w:sz w:val="24"/>
        </w:rPr>
        <w:t xml:space="preserve">Committee, in its annual report to the Board of Governors, provides an annual opinion on the adequacy and effectiveness of the University’s arrangements for risk management, control and </w:t>
      </w:r>
      <w:proofErr w:type="gramStart"/>
      <w:r w:rsidRPr="00220A07">
        <w:rPr>
          <w:rFonts w:cs="Arial"/>
          <w:sz w:val="24"/>
        </w:rPr>
        <w:t>governance;</w:t>
      </w:r>
      <w:proofErr w:type="gramEnd"/>
    </w:p>
    <w:p w14:paraId="0E400A60" w14:textId="09C84ED4" w:rsidR="001B59DC" w:rsidRPr="00220A07" w:rsidRDefault="00BD71BA" w:rsidP="00B2621A">
      <w:pPr>
        <w:numPr>
          <w:ilvl w:val="0"/>
          <w:numId w:val="7"/>
        </w:numPr>
        <w:spacing w:after="120" w:line="240" w:lineRule="auto"/>
        <w:ind w:left="426" w:hanging="567"/>
        <w:jc w:val="left"/>
        <w:rPr>
          <w:rFonts w:cs="Arial"/>
          <w:sz w:val="24"/>
        </w:rPr>
      </w:pPr>
      <w:r w:rsidRPr="00220A07">
        <w:rPr>
          <w:rFonts w:cs="Arial"/>
          <w:sz w:val="24"/>
        </w:rPr>
        <w:t xml:space="preserve">The </w:t>
      </w:r>
      <w:r w:rsidR="007123B6" w:rsidRPr="00220A07">
        <w:rPr>
          <w:rFonts w:cs="Arial"/>
          <w:sz w:val="24"/>
        </w:rPr>
        <w:t xml:space="preserve">Vice Chancellor and </w:t>
      </w:r>
      <w:r w:rsidRPr="00220A07">
        <w:rPr>
          <w:rFonts w:cs="Arial"/>
          <w:sz w:val="24"/>
        </w:rPr>
        <w:t xml:space="preserve">Chief </w:t>
      </w:r>
      <w:r w:rsidR="0045282C" w:rsidRPr="00220A07">
        <w:rPr>
          <w:rFonts w:cs="Arial"/>
          <w:sz w:val="24"/>
        </w:rPr>
        <w:t>Operating Officer</w:t>
      </w:r>
      <w:r w:rsidRPr="00220A07">
        <w:rPr>
          <w:rFonts w:cs="Arial"/>
          <w:sz w:val="24"/>
        </w:rPr>
        <w:t xml:space="preserve"> attend meetings of the Audit </w:t>
      </w:r>
      <w:r w:rsidR="00027FCB">
        <w:rPr>
          <w:rFonts w:cs="Arial"/>
          <w:sz w:val="24"/>
        </w:rPr>
        <w:t xml:space="preserve">and Risk </w:t>
      </w:r>
      <w:r w:rsidRPr="00220A07">
        <w:rPr>
          <w:rFonts w:cs="Arial"/>
          <w:sz w:val="24"/>
        </w:rPr>
        <w:t xml:space="preserve">Committee and have direct and independent access to members of that Committee, as do the internal and external auditors. The Audit </w:t>
      </w:r>
      <w:r w:rsidR="00027FCB">
        <w:rPr>
          <w:rFonts w:cs="Arial"/>
          <w:sz w:val="24"/>
        </w:rPr>
        <w:t xml:space="preserve">and Risk </w:t>
      </w:r>
      <w:r w:rsidRPr="00220A07">
        <w:rPr>
          <w:rFonts w:cs="Arial"/>
          <w:sz w:val="24"/>
        </w:rPr>
        <w:t>Committee</w:t>
      </w:r>
      <w:r w:rsidR="00076779" w:rsidRPr="00220A07">
        <w:rPr>
          <w:rFonts w:cs="Arial"/>
          <w:sz w:val="24"/>
        </w:rPr>
        <w:t xml:space="preserve"> </w:t>
      </w:r>
      <w:proofErr w:type="gramStart"/>
      <w:r w:rsidR="00076779" w:rsidRPr="00220A07">
        <w:rPr>
          <w:rFonts w:cs="Arial"/>
          <w:sz w:val="24"/>
        </w:rPr>
        <w:t>holds</w:t>
      </w:r>
      <w:proofErr w:type="gramEnd"/>
      <w:r w:rsidR="00076779" w:rsidRPr="00220A07">
        <w:rPr>
          <w:rFonts w:cs="Arial"/>
          <w:sz w:val="24"/>
        </w:rPr>
        <w:t xml:space="preserve"> a </w:t>
      </w:r>
      <w:r w:rsidRPr="00220A07">
        <w:rPr>
          <w:rFonts w:cs="Arial"/>
          <w:sz w:val="24"/>
        </w:rPr>
        <w:t>‘members only’ session with the internal and external auditors</w:t>
      </w:r>
      <w:r w:rsidR="00076779" w:rsidRPr="00220A07">
        <w:rPr>
          <w:rFonts w:cs="Arial"/>
          <w:sz w:val="24"/>
        </w:rPr>
        <w:t xml:space="preserve"> at least annually.</w:t>
      </w:r>
    </w:p>
    <w:p w14:paraId="2EDB3595" w14:textId="10055D60" w:rsidR="00E474D8" w:rsidRPr="0092517D" w:rsidRDefault="00E474D8" w:rsidP="0050318D">
      <w:pPr>
        <w:ind w:left="0" w:firstLine="0"/>
      </w:pPr>
    </w:p>
    <w:p w14:paraId="38DBEFFC" w14:textId="1D0C8CE2" w:rsidR="00CE007B" w:rsidRPr="0092517D" w:rsidRDefault="00CE007B" w:rsidP="00B2621A">
      <w:pPr>
        <w:pStyle w:val="Heading1"/>
        <w:numPr>
          <w:ilvl w:val="0"/>
          <w:numId w:val="19"/>
        </w:numPr>
      </w:pPr>
      <w:r w:rsidRPr="0092517D">
        <w:t>Reviewing Effectiveness</w:t>
      </w:r>
    </w:p>
    <w:p w14:paraId="208749E7" w14:textId="77777777" w:rsidR="0092517D" w:rsidRPr="0092517D" w:rsidRDefault="0092517D" w:rsidP="0050318D">
      <w:pPr>
        <w:ind w:left="0" w:firstLine="0"/>
        <w:rPr>
          <w:rFonts w:cs="Arial"/>
          <w:sz w:val="24"/>
        </w:rPr>
      </w:pPr>
    </w:p>
    <w:p w14:paraId="20C31D6F" w14:textId="5C83E739" w:rsidR="0092517D" w:rsidRDefault="0092517D" w:rsidP="00ED028A">
      <w:pPr>
        <w:pStyle w:val="ListParagraph"/>
        <w:numPr>
          <w:ilvl w:val="1"/>
          <w:numId w:val="19"/>
        </w:numPr>
        <w:ind w:left="426" w:hanging="426"/>
        <w:rPr>
          <w:rFonts w:cs="Arial"/>
          <w:sz w:val="24"/>
        </w:rPr>
      </w:pPr>
      <w:r w:rsidRPr="0092517D">
        <w:rPr>
          <w:rFonts w:cs="Arial"/>
          <w:sz w:val="24"/>
        </w:rPr>
        <w:t>The Audit</w:t>
      </w:r>
      <w:r w:rsidR="00027FCB">
        <w:rPr>
          <w:rFonts w:cs="Arial"/>
          <w:sz w:val="24"/>
        </w:rPr>
        <w:t xml:space="preserve"> and Risk</w:t>
      </w:r>
      <w:r w:rsidRPr="0092517D">
        <w:rPr>
          <w:rFonts w:cs="Arial"/>
          <w:sz w:val="24"/>
        </w:rPr>
        <w:t xml:space="preserve"> Committee is responsible for reviewing the effectiveness of risk management arrangements across the University and making recommendations for improvements to the Board and Senior Leadership Team where appropriate.  The Annual Report of the Audit </w:t>
      </w:r>
      <w:r w:rsidR="00027FCB">
        <w:rPr>
          <w:rFonts w:cs="Arial"/>
          <w:sz w:val="24"/>
        </w:rPr>
        <w:t xml:space="preserve">and Risk </w:t>
      </w:r>
      <w:r w:rsidRPr="0092517D">
        <w:rPr>
          <w:rFonts w:cs="Arial"/>
          <w:sz w:val="24"/>
        </w:rPr>
        <w:t xml:space="preserve">Committee to the Board will include its view on the effectiveness of the arrangements for risk management. </w:t>
      </w:r>
      <w:r w:rsidR="001F7D96">
        <w:rPr>
          <w:rFonts w:cs="Arial"/>
          <w:sz w:val="24"/>
        </w:rPr>
        <w:br/>
      </w:r>
    </w:p>
    <w:p w14:paraId="0952E1B8" w14:textId="7FB7819D" w:rsidR="001F7D96" w:rsidRPr="0092517D" w:rsidRDefault="001F7D96" w:rsidP="001F7D96">
      <w:pPr>
        <w:pStyle w:val="Heading1"/>
        <w:numPr>
          <w:ilvl w:val="0"/>
          <w:numId w:val="19"/>
        </w:numPr>
      </w:pPr>
      <w:r>
        <w:t>Appendices</w:t>
      </w:r>
    </w:p>
    <w:p w14:paraId="05858795" w14:textId="77777777" w:rsidR="00CE007B" w:rsidRPr="0092517D" w:rsidRDefault="00CE007B" w:rsidP="00CE007B">
      <w:pPr>
        <w:ind w:left="709"/>
        <w:rPr>
          <w:rFonts w:cs="Arial"/>
          <w:lang w:eastAsia="zh-CN"/>
        </w:rPr>
      </w:pPr>
    </w:p>
    <w:p w14:paraId="79F87E75" w14:textId="5DCC8B34" w:rsidR="00344B6C" w:rsidRPr="00220A07" w:rsidRDefault="001B59DC" w:rsidP="0068196F">
      <w:pPr>
        <w:pStyle w:val="ListParagraph"/>
        <w:tabs>
          <w:tab w:val="left" w:pos="426"/>
        </w:tabs>
        <w:snapToGrid w:val="0"/>
        <w:spacing w:after="120"/>
        <w:ind w:left="425" w:firstLine="1"/>
        <w:contextualSpacing w:val="0"/>
        <w:jc w:val="left"/>
        <w:rPr>
          <w:rFonts w:cs="Arial"/>
          <w:sz w:val="24"/>
        </w:rPr>
      </w:pPr>
      <w:r w:rsidRPr="00220A07">
        <w:rPr>
          <w:rFonts w:cs="Arial"/>
          <w:sz w:val="24"/>
        </w:rPr>
        <w:t>Appendix</w:t>
      </w:r>
      <w:r w:rsidR="00612E3D" w:rsidRPr="00220A07">
        <w:rPr>
          <w:rFonts w:cs="Arial"/>
          <w:sz w:val="24"/>
        </w:rPr>
        <w:t xml:space="preserve"> A:</w:t>
      </w:r>
      <w:r w:rsidR="00612E3D" w:rsidRPr="00220A07">
        <w:rPr>
          <w:rFonts w:cs="Arial"/>
          <w:sz w:val="24"/>
        </w:rPr>
        <w:tab/>
      </w:r>
      <w:r w:rsidR="001724AA" w:rsidRPr="00220A07">
        <w:rPr>
          <w:rFonts w:cs="Arial"/>
          <w:sz w:val="24"/>
        </w:rPr>
        <w:t xml:space="preserve">Statement of Risk Appetite </w:t>
      </w:r>
    </w:p>
    <w:p w14:paraId="642D1186" w14:textId="77777777" w:rsidR="001B59DC" w:rsidRPr="00220A07" w:rsidRDefault="001B59DC" w:rsidP="0068196F">
      <w:pPr>
        <w:pStyle w:val="ListParagraph"/>
        <w:tabs>
          <w:tab w:val="left" w:pos="426"/>
        </w:tabs>
        <w:snapToGrid w:val="0"/>
        <w:spacing w:after="120"/>
        <w:ind w:left="425" w:firstLine="1"/>
        <w:contextualSpacing w:val="0"/>
        <w:jc w:val="left"/>
        <w:rPr>
          <w:rFonts w:cs="Arial"/>
          <w:sz w:val="24"/>
        </w:rPr>
      </w:pPr>
    </w:p>
    <w:p w14:paraId="57354B35" w14:textId="0B053E08" w:rsidR="00612E3D" w:rsidRPr="00220A07" w:rsidRDefault="001B59DC" w:rsidP="0068196F">
      <w:pPr>
        <w:pStyle w:val="ListParagraph"/>
        <w:tabs>
          <w:tab w:val="left" w:pos="426"/>
        </w:tabs>
        <w:snapToGrid w:val="0"/>
        <w:spacing w:after="120"/>
        <w:ind w:left="425" w:firstLine="1"/>
        <w:contextualSpacing w:val="0"/>
        <w:jc w:val="left"/>
        <w:rPr>
          <w:rFonts w:cs="Arial"/>
          <w:sz w:val="24"/>
        </w:rPr>
      </w:pPr>
      <w:r w:rsidRPr="00220A07">
        <w:rPr>
          <w:rFonts w:cs="Arial"/>
          <w:sz w:val="24"/>
        </w:rPr>
        <w:t xml:space="preserve">Appendix </w:t>
      </w:r>
      <w:r w:rsidR="00E668F3" w:rsidRPr="00220A07">
        <w:rPr>
          <w:rFonts w:cs="Arial"/>
          <w:sz w:val="24"/>
        </w:rPr>
        <w:t>B</w:t>
      </w:r>
      <w:r w:rsidR="00612E3D" w:rsidRPr="00220A07">
        <w:rPr>
          <w:rFonts w:cs="Arial"/>
          <w:sz w:val="24"/>
        </w:rPr>
        <w:t>:</w:t>
      </w:r>
      <w:r w:rsidR="00612E3D" w:rsidRPr="00220A07">
        <w:rPr>
          <w:rFonts w:cs="Arial"/>
          <w:sz w:val="24"/>
        </w:rPr>
        <w:tab/>
      </w:r>
      <w:r w:rsidR="001724AA" w:rsidRPr="00220A07">
        <w:rPr>
          <w:rFonts w:cs="Arial"/>
          <w:sz w:val="24"/>
        </w:rPr>
        <w:t>Roles and responsibilities</w:t>
      </w:r>
    </w:p>
    <w:p w14:paraId="78BBC80F" w14:textId="77777777" w:rsidR="001B59DC" w:rsidRPr="00220A07" w:rsidRDefault="001B59DC" w:rsidP="0068196F">
      <w:pPr>
        <w:pStyle w:val="ListParagraph"/>
        <w:tabs>
          <w:tab w:val="left" w:pos="426"/>
        </w:tabs>
        <w:snapToGrid w:val="0"/>
        <w:spacing w:after="120"/>
        <w:ind w:left="425" w:firstLine="1"/>
        <w:contextualSpacing w:val="0"/>
        <w:jc w:val="left"/>
        <w:rPr>
          <w:rFonts w:cs="Arial"/>
          <w:sz w:val="24"/>
        </w:rPr>
      </w:pPr>
    </w:p>
    <w:p w14:paraId="610952E5" w14:textId="1536C814" w:rsidR="00BD71BA" w:rsidRPr="00220A07" w:rsidRDefault="001B59DC" w:rsidP="0068196F">
      <w:pPr>
        <w:pStyle w:val="ListParagraph"/>
        <w:tabs>
          <w:tab w:val="left" w:pos="426"/>
        </w:tabs>
        <w:snapToGrid w:val="0"/>
        <w:spacing w:after="120"/>
        <w:ind w:left="425" w:firstLine="1"/>
        <w:contextualSpacing w:val="0"/>
        <w:jc w:val="left"/>
        <w:rPr>
          <w:rFonts w:cs="Arial"/>
          <w:sz w:val="24"/>
        </w:rPr>
      </w:pPr>
      <w:r w:rsidRPr="00220A07">
        <w:rPr>
          <w:rFonts w:cs="Arial"/>
          <w:sz w:val="24"/>
        </w:rPr>
        <w:t xml:space="preserve">Appendix </w:t>
      </w:r>
      <w:r w:rsidR="00BD71BA" w:rsidRPr="00220A07">
        <w:rPr>
          <w:rFonts w:cs="Arial"/>
          <w:sz w:val="24"/>
        </w:rPr>
        <w:t xml:space="preserve">C: </w:t>
      </w:r>
      <w:r w:rsidR="001724AA" w:rsidRPr="00220A07">
        <w:rPr>
          <w:rFonts w:cs="Arial"/>
          <w:sz w:val="24"/>
        </w:rPr>
        <w:tab/>
        <w:t>Risk management guidance</w:t>
      </w:r>
    </w:p>
    <w:p w14:paraId="32931BA1" w14:textId="77777777" w:rsidR="00344B6C" w:rsidRPr="00220A07" w:rsidRDefault="00344B6C" w:rsidP="00605F9B">
      <w:pPr>
        <w:tabs>
          <w:tab w:val="left" w:pos="142"/>
        </w:tabs>
        <w:ind w:left="0" w:firstLine="0"/>
        <w:rPr>
          <w:rFonts w:cs="Arial"/>
          <w:sz w:val="24"/>
        </w:rPr>
      </w:pPr>
    </w:p>
    <w:p w14:paraId="65FFFC21" w14:textId="1B3C8C33" w:rsidR="00344B6C" w:rsidRPr="00220A07" w:rsidRDefault="00344B6C" w:rsidP="00344B6C">
      <w:pPr>
        <w:tabs>
          <w:tab w:val="left" w:pos="142"/>
        </w:tabs>
        <w:ind w:left="0" w:hanging="709"/>
        <w:rPr>
          <w:rFonts w:cs="Arial"/>
          <w:sz w:val="24"/>
        </w:rPr>
        <w:sectPr w:rsidR="00344B6C" w:rsidRPr="00220A07" w:rsidSect="00AF0C1E">
          <w:headerReference w:type="even" r:id="rId11"/>
          <w:headerReference w:type="default" r:id="rId12"/>
          <w:footerReference w:type="even" r:id="rId13"/>
          <w:footerReference w:type="default" r:id="rId14"/>
          <w:headerReference w:type="first" r:id="rId15"/>
          <w:pgSz w:w="11900" w:h="16840"/>
          <w:pgMar w:top="1440" w:right="1410" w:bottom="1276" w:left="1440" w:header="720" w:footer="554" w:gutter="0"/>
          <w:cols w:space="720"/>
          <w:titlePg/>
          <w:docGrid w:linePitch="299"/>
        </w:sectPr>
      </w:pPr>
    </w:p>
    <w:p w14:paraId="668D2FB7" w14:textId="5511FBC2" w:rsidR="00777B2C" w:rsidRPr="009700E0" w:rsidRDefault="00777B2C" w:rsidP="0050318D">
      <w:pPr>
        <w:pStyle w:val="Title"/>
        <w:ind w:firstLine="0"/>
        <w:rPr>
          <w:sz w:val="28"/>
          <w:szCs w:val="28"/>
        </w:rPr>
      </w:pPr>
      <w:r w:rsidRPr="009700E0">
        <w:rPr>
          <w:sz w:val="28"/>
          <w:szCs w:val="28"/>
        </w:rPr>
        <w:lastRenderedPageBreak/>
        <w:t>Appendix A - Statement of Risk Appetite</w:t>
      </w:r>
    </w:p>
    <w:p w14:paraId="516C5F50" w14:textId="77777777" w:rsidR="00777B2C" w:rsidRPr="00220A07" w:rsidRDefault="00777B2C" w:rsidP="00777B2C">
      <w:pPr>
        <w:tabs>
          <w:tab w:val="left" w:pos="142"/>
          <w:tab w:val="left" w:pos="709"/>
        </w:tabs>
        <w:ind w:left="0" w:firstLine="0"/>
        <w:jc w:val="left"/>
        <w:rPr>
          <w:rFonts w:cs="Arial"/>
          <w:sz w:val="24"/>
        </w:rPr>
      </w:pPr>
    </w:p>
    <w:p w14:paraId="4591661D" w14:textId="6DE14465" w:rsidR="00777B2C" w:rsidRPr="00C251FA" w:rsidRDefault="00777B2C" w:rsidP="009700E0">
      <w:pPr>
        <w:pStyle w:val="Heading1"/>
        <w:numPr>
          <w:ilvl w:val="0"/>
          <w:numId w:val="30"/>
        </w:numPr>
      </w:pPr>
      <w:r w:rsidRPr="00C251FA">
        <w:t>Introduction</w:t>
      </w:r>
    </w:p>
    <w:p w14:paraId="76074F82" w14:textId="77777777" w:rsidR="00777B2C" w:rsidRPr="00220A07" w:rsidRDefault="00777B2C" w:rsidP="00777B2C">
      <w:pPr>
        <w:spacing w:after="160" w:line="240" w:lineRule="auto"/>
        <w:ind w:left="0" w:firstLine="0"/>
        <w:jc w:val="left"/>
        <w:rPr>
          <w:rFonts w:eastAsia="SimSun" w:cs="Arial"/>
          <w:color w:val="auto"/>
          <w:sz w:val="24"/>
          <w:lang w:eastAsia="zh-CN"/>
        </w:rPr>
      </w:pPr>
      <w:r w:rsidRPr="00220A07">
        <w:rPr>
          <w:rFonts w:eastAsia="SimSun" w:cs="Arial"/>
          <w:color w:val="auto"/>
          <w:sz w:val="24"/>
          <w:lang w:eastAsia="zh-CN"/>
        </w:rPr>
        <w:t>The University’s Statement of Risk Appetite is part of the University’s risk management framework. The framework comprises:</w:t>
      </w:r>
    </w:p>
    <w:p w14:paraId="11821A6D" w14:textId="77777777" w:rsidR="00777B2C" w:rsidRPr="00220A07" w:rsidRDefault="00777B2C" w:rsidP="00B2621A">
      <w:pPr>
        <w:numPr>
          <w:ilvl w:val="0"/>
          <w:numId w:val="8"/>
        </w:numPr>
        <w:spacing w:after="160" w:line="240" w:lineRule="auto"/>
        <w:contextualSpacing/>
        <w:jc w:val="left"/>
        <w:rPr>
          <w:rFonts w:eastAsia="SimSun" w:cs="Arial"/>
          <w:color w:val="auto"/>
          <w:sz w:val="24"/>
          <w:lang w:eastAsia="zh-CN"/>
        </w:rPr>
      </w:pPr>
      <w:r w:rsidRPr="00220A07">
        <w:rPr>
          <w:rFonts w:eastAsia="SimSun" w:cs="Arial"/>
          <w:color w:val="auto"/>
          <w:sz w:val="24"/>
          <w:lang w:eastAsia="zh-CN"/>
        </w:rPr>
        <w:t xml:space="preserve">Governance </w:t>
      </w:r>
      <w:proofErr w:type="gramStart"/>
      <w:r w:rsidRPr="00220A07">
        <w:rPr>
          <w:rFonts w:eastAsia="SimSun" w:cs="Arial"/>
          <w:color w:val="auto"/>
          <w:sz w:val="24"/>
          <w:lang w:eastAsia="zh-CN"/>
        </w:rPr>
        <w:t>processes;</w:t>
      </w:r>
      <w:proofErr w:type="gramEnd"/>
    </w:p>
    <w:p w14:paraId="473C862A" w14:textId="77777777" w:rsidR="00777B2C" w:rsidRPr="00220A07" w:rsidRDefault="00777B2C" w:rsidP="00B2621A">
      <w:pPr>
        <w:numPr>
          <w:ilvl w:val="0"/>
          <w:numId w:val="8"/>
        </w:numPr>
        <w:spacing w:after="160" w:line="240" w:lineRule="auto"/>
        <w:contextualSpacing/>
        <w:jc w:val="left"/>
        <w:rPr>
          <w:rFonts w:eastAsia="SimSun" w:cs="Arial"/>
          <w:color w:val="auto"/>
          <w:sz w:val="24"/>
          <w:lang w:eastAsia="zh-CN"/>
        </w:rPr>
      </w:pPr>
      <w:r w:rsidRPr="00220A07">
        <w:rPr>
          <w:rFonts w:eastAsia="SimSun" w:cs="Arial"/>
          <w:color w:val="auto"/>
          <w:sz w:val="24"/>
          <w:lang w:eastAsia="zh-CN"/>
        </w:rPr>
        <w:t xml:space="preserve">The Risk Management Policy and </w:t>
      </w:r>
      <w:proofErr w:type="gramStart"/>
      <w:r w:rsidRPr="00220A07">
        <w:rPr>
          <w:rFonts w:eastAsia="SimSun" w:cs="Arial"/>
          <w:color w:val="auto"/>
          <w:sz w:val="24"/>
          <w:lang w:eastAsia="zh-CN"/>
        </w:rPr>
        <w:t>Process;</w:t>
      </w:r>
      <w:proofErr w:type="gramEnd"/>
    </w:p>
    <w:p w14:paraId="77F3C66E" w14:textId="77777777" w:rsidR="00777B2C" w:rsidRPr="00220A07" w:rsidRDefault="00777B2C" w:rsidP="00B2621A">
      <w:pPr>
        <w:numPr>
          <w:ilvl w:val="0"/>
          <w:numId w:val="8"/>
        </w:numPr>
        <w:spacing w:after="160" w:line="240" w:lineRule="auto"/>
        <w:contextualSpacing/>
        <w:jc w:val="left"/>
        <w:rPr>
          <w:rFonts w:eastAsia="SimSun" w:cs="Arial"/>
          <w:color w:val="auto"/>
          <w:sz w:val="24"/>
          <w:lang w:eastAsia="zh-CN"/>
        </w:rPr>
      </w:pPr>
      <w:r w:rsidRPr="00220A07">
        <w:rPr>
          <w:rFonts w:eastAsia="SimSun" w:cs="Arial"/>
          <w:color w:val="auto"/>
          <w:sz w:val="24"/>
          <w:lang w:eastAsia="zh-CN"/>
        </w:rPr>
        <w:t xml:space="preserve">The Statement of Risk </w:t>
      </w:r>
      <w:proofErr w:type="gramStart"/>
      <w:r w:rsidRPr="00220A07">
        <w:rPr>
          <w:rFonts w:eastAsia="SimSun" w:cs="Arial"/>
          <w:color w:val="auto"/>
          <w:sz w:val="24"/>
          <w:lang w:eastAsia="zh-CN"/>
        </w:rPr>
        <w:t>Appetite;</w:t>
      </w:r>
      <w:proofErr w:type="gramEnd"/>
    </w:p>
    <w:p w14:paraId="5E106D9C" w14:textId="77777777" w:rsidR="00777B2C" w:rsidRPr="00220A07" w:rsidRDefault="00777B2C" w:rsidP="00B2621A">
      <w:pPr>
        <w:numPr>
          <w:ilvl w:val="0"/>
          <w:numId w:val="8"/>
        </w:numPr>
        <w:spacing w:after="160" w:line="240" w:lineRule="auto"/>
        <w:contextualSpacing/>
        <w:jc w:val="left"/>
        <w:rPr>
          <w:rFonts w:eastAsia="SimSun" w:cs="Arial"/>
          <w:color w:val="auto"/>
          <w:sz w:val="24"/>
          <w:lang w:eastAsia="zh-CN"/>
        </w:rPr>
      </w:pPr>
      <w:r w:rsidRPr="00220A07">
        <w:rPr>
          <w:rFonts w:eastAsia="SimSun" w:cs="Arial"/>
          <w:color w:val="auto"/>
          <w:sz w:val="24"/>
          <w:lang w:eastAsia="zh-CN"/>
        </w:rPr>
        <w:t>The identification, evaluation and management of significant risks (e.g. through the regular review of the Corporate Risk Register and School/PSD risk registers</w:t>
      </w:r>
      <w:proofErr w:type="gramStart"/>
      <w:r w:rsidRPr="00220A07">
        <w:rPr>
          <w:rFonts w:eastAsia="SimSun" w:cs="Arial"/>
          <w:color w:val="auto"/>
          <w:sz w:val="24"/>
          <w:lang w:eastAsia="zh-CN"/>
        </w:rPr>
        <w:t>);</w:t>
      </w:r>
      <w:proofErr w:type="gramEnd"/>
    </w:p>
    <w:p w14:paraId="3749D90E" w14:textId="77777777" w:rsidR="00777B2C" w:rsidRPr="00220A07" w:rsidRDefault="00777B2C" w:rsidP="00B2621A">
      <w:pPr>
        <w:numPr>
          <w:ilvl w:val="0"/>
          <w:numId w:val="8"/>
        </w:numPr>
        <w:spacing w:after="160" w:line="240" w:lineRule="auto"/>
        <w:contextualSpacing/>
        <w:jc w:val="left"/>
        <w:rPr>
          <w:rFonts w:eastAsia="SimSun" w:cs="Arial"/>
          <w:color w:val="auto"/>
          <w:sz w:val="24"/>
          <w:lang w:eastAsia="zh-CN"/>
        </w:rPr>
      </w:pPr>
      <w:r w:rsidRPr="00220A07">
        <w:rPr>
          <w:rFonts w:eastAsia="SimSun" w:cs="Arial"/>
          <w:color w:val="auto"/>
          <w:sz w:val="24"/>
          <w:lang w:eastAsia="zh-CN"/>
        </w:rPr>
        <w:t xml:space="preserve">Assurance and audit </w:t>
      </w:r>
      <w:proofErr w:type="gramStart"/>
      <w:r w:rsidRPr="00220A07">
        <w:rPr>
          <w:rFonts w:eastAsia="SimSun" w:cs="Arial"/>
          <w:color w:val="auto"/>
          <w:sz w:val="24"/>
          <w:lang w:eastAsia="zh-CN"/>
        </w:rPr>
        <w:t>processes;</w:t>
      </w:r>
      <w:proofErr w:type="gramEnd"/>
    </w:p>
    <w:p w14:paraId="2718D0B2" w14:textId="77777777" w:rsidR="00777B2C" w:rsidRPr="00220A07" w:rsidRDefault="00777B2C" w:rsidP="00B2621A">
      <w:pPr>
        <w:numPr>
          <w:ilvl w:val="0"/>
          <w:numId w:val="8"/>
        </w:numPr>
        <w:spacing w:after="160" w:line="240" w:lineRule="auto"/>
        <w:contextualSpacing/>
        <w:jc w:val="left"/>
        <w:rPr>
          <w:rFonts w:eastAsia="SimSun" w:cs="Arial"/>
          <w:color w:val="auto"/>
          <w:sz w:val="24"/>
          <w:lang w:eastAsia="zh-CN"/>
        </w:rPr>
      </w:pPr>
      <w:r w:rsidRPr="00220A07">
        <w:rPr>
          <w:rFonts w:eastAsia="SimSun" w:cs="Arial"/>
          <w:color w:val="auto"/>
          <w:sz w:val="24"/>
          <w:lang w:eastAsia="zh-CN"/>
        </w:rPr>
        <w:t>The underlying policy and control environment.</w:t>
      </w:r>
    </w:p>
    <w:p w14:paraId="7E0AF1A3" w14:textId="77777777" w:rsidR="00777B2C" w:rsidRPr="00220A07" w:rsidRDefault="00777B2C" w:rsidP="00777B2C">
      <w:pPr>
        <w:spacing w:after="160" w:line="240" w:lineRule="auto"/>
        <w:ind w:left="0" w:firstLine="0"/>
        <w:contextualSpacing/>
        <w:jc w:val="left"/>
        <w:rPr>
          <w:rFonts w:eastAsia="SimSun" w:cs="Arial"/>
          <w:color w:val="auto"/>
          <w:sz w:val="24"/>
          <w:lang w:eastAsia="zh-CN"/>
        </w:rPr>
      </w:pPr>
    </w:p>
    <w:p w14:paraId="04E4E42B" w14:textId="77777777" w:rsidR="00777B2C" w:rsidRPr="00220A07" w:rsidRDefault="00777B2C" w:rsidP="00777B2C">
      <w:pPr>
        <w:spacing w:after="160" w:line="240" w:lineRule="auto"/>
        <w:ind w:left="0" w:firstLine="0"/>
        <w:jc w:val="left"/>
        <w:rPr>
          <w:rFonts w:eastAsia="SimSun" w:cs="Arial"/>
          <w:color w:val="auto"/>
          <w:sz w:val="24"/>
          <w:lang w:eastAsia="zh-CN"/>
        </w:rPr>
      </w:pPr>
      <w:r w:rsidRPr="00220A07">
        <w:rPr>
          <w:rFonts w:eastAsia="SimSun" w:cs="Arial"/>
          <w:color w:val="auto"/>
          <w:sz w:val="24"/>
          <w:lang w:eastAsia="zh-CN"/>
        </w:rPr>
        <w:t xml:space="preserve">The University must take risks </w:t>
      </w:r>
      <w:proofErr w:type="gramStart"/>
      <w:r w:rsidRPr="00220A07">
        <w:rPr>
          <w:rFonts w:eastAsia="SimSun" w:cs="Arial"/>
          <w:color w:val="auto"/>
          <w:sz w:val="24"/>
          <w:lang w:eastAsia="zh-CN"/>
        </w:rPr>
        <w:t>in order to</w:t>
      </w:r>
      <w:proofErr w:type="gramEnd"/>
      <w:r w:rsidRPr="00220A07">
        <w:rPr>
          <w:rFonts w:eastAsia="SimSun" w:cs="Arial"/>
          <w:color w:val="auto"/>
          <w:sz w:val="24"/>
          <w:lang w:eastAsia="zh-CN"/>
        </w:rPr>
        <w:t xml:space="preserve"> achieve its strategic aims and deliver improved outcomes for students. Risks will be taken in a considered and controlled manner, commensurate with the potential reward and at a level deemed to be acceptable by the Board of Governors. The University will generally accept a level of risk proportionate to the expected benefits gained and with due regard to the impact and likelihood of potential harm.</w:t>
      </w:r>
    </w:p>
    <w:p w14:paraId="5C11F31A" w14:textId="77777777" w:rsidR="00777B2C" w:rsidRPr="00220A07" w:rsidRDefault="00777B2C" w:rsidP="00777B2C">
      <w:pPr>
        <w:spacing w:after="160" w:line="240" w:lineRule="auto"/>
        <w:ind w:left="0" w:firstLine="0"/>
        <w:jc w:val="left"/>
        <w:rPr>
          <w:rFonts w:eastAsia="SimSun" w:cs="Arial"/>
          <w:color w:val="auto"/>
          <w:sz w:val="24"/>
          <w:lang w:eastAsia="zh-CN"/>
        </w:rPr>
      </w:pPr>
      <w:r w:rsidRPr="00220A07">
        <w:rPr>
          <w:rFonts w:eastAsia="SimSun" w:cs="Arial"/>
          <w:color w:val="auto"/>
          <w:sz w:val="24"/>
          <w:lang w:eastAsia="zh-CN"/>
        </w:rPr>
        <w:t>The Statement of Risk Appetite specifies the amount of risk the University is willing to tolerate or accept in the pursuit of its long-term objectives.  It indicates the parameters within which the University would want to conduct its activities. It is intended to act as a guide to colleagues indicating the:</w:t>
      </w:r>
    </w:p>
    <w:p w14:paraId="37A8101A" w14:textId="77777777" w:rsidR="00777B2C" w:rsidRPr="00220A07" w:rsidRDefault="00777B2C" w:rsidP="00B2621A">
      <w:pPr>
        <w:numPr>
          <w:ilvl w:val="0"/>
          <w:numId w:val="4"/>
        </w:numPr>
        <w:spacing w:after="160" w:line="240" w:lineRule="auto"/>
        <w:contextualSpacing/>
        <w:jc w:val="left"/>
        <w:rPr>
          <w:rFonts w:eastAsia="SimSun" w:cs="Arial"/>
          <w:color w:val="auto"/>
          <w:sz w:val="24"/>
          <w:lang w:eastAsia="zh-CN"/>
        </w:rPr>
      </w:pPr>
      <w:r w:rsidRPr="00220A07">
        <w:rPr>
          <w:rFonts w:eastAsia="SimSun" w:cs="Arial"/>
          <w:color w:val="auto"/>
          <w:sz w:val="24"/>
          <w:lang w:eastAsia="zh-CN"/>
        </w:rPr>
        <w:t xml:space="preserve">Areas where the University should ‘step out’ and be </w:t>
      </w:r>
      <w:proofErr w:type="gramStart"/>
      <w:r w:rsidRPr="00220A07">
        <w:rPr>
          <w:rFonts w:eastAsia="SimSun" w:cs="Arial"/>
          <w:color w:val="auto"/>
          <w:sz w:val="24"/>
          <w:lang w:eastAsia="zh-CN"/>
        </w:rPr>
        <w:t>innovative;</w:t>
      </w:r>
      <w:proofErr w:type="gramEnd"/>
    </w:p>
    <w:p w14:paraId="457E7F40" w14:textId="77777777" w:rsidR="00777B2C" w:rsidRPr="00220A07" w:rsidRDefault="00777B2C" w:rsidP="00B2621A">
      <w:pPr>
        <w:numPr>
          <w:ilvl w:val="0"/>
          <w:numId w:val="4"/>
        </w:numPr>
        <w:spacing w:after="160" w:line="240" w:lineRule="auto"/>
        <w:contextualSpacing/>
        <w:jc w:val="left"/>
        <w:rPr>
          <w:rFonts w:eastAsia="SimSun" w:cs="Arial"/>
          <w:color w:val="auto"/>
          <w:sz w:val="24"/>
          <w:lang w:eastAsia="zh-CN"/>
        </w:rPr>
      </w:pPr>
      <w:r w:rsidRPr="00220A07">
        <w:rPr>
          <w:rFonts w:eastAsia="SimSun" w:cs="Arial"/>
          <w:color w:val="auto"/>
          <w:sz w:val="24"/>
          <w:lang w:eastAsia="zh-CN"/>
        </w:rPr>
        <w:t xml:space="preserve">Areas where the University wishes to be conservative and compliant in its activities, </w:t>
      </w:r>
      <w:proofErr w:type="gramStart"/>
      <w:r w:rsidRPr="00220A07">
        <w:rPr>
          <w:rFonts w:eastAsia="SimSun" w:cs="Arial"/>
          <w:color w:val="auto"/>
          <w:sz w:val="24"/>
          <w:lang w:eastAsia="zh-CN"/>
        </w:rPr>
        <w:t>and;</w:t>
      </w:r>
      <w:proofErr w:type="gramEnd"/>
      <w:r w:rsidRPr="00220A07">
        <w:rPr>
          <w:rFonts w:eastAsia="SimSun" w:cs="Arial"/>
          <w:color w:val="auto"/>
          <w:sz w:val="24"/>
          <w:lang w:eastAsia="zh-CN"/>
        </w:rPr>
        <w:t>  </w:t>
      </w:r>
    </w:p>
    <w:p w14:paraId="70DF6B21" w14:textId="03250210" w:rsidR="005532F7" w:rsidRPr="00220A07" w:rsidRDefault="00777B2C" w:rsidP="0068196F">
      <w:pPr>
        <w:spacing w:after="160" w:line="240" w:lineRule="auto"/>
        <w:ind w:left="360" w:firstLine="0"/>
        <w:contextualSpacing/>
        <w:jc w:val="left"/>
        <w:rPr>
          <w:rFonts w:eastAsia="SimSun" w:cs="Arial"/>
          <w:color w:val="auto"/>
          <w:sz w:val="24"/>
          <w:lang w:eastAsia="zh-CN"/>
        </w:rPr>
      </w:pPr>
      <w:r w:rsidRPr="00220A07">
        <w:rPr>
          <w:rFonts w:eastAsia="SimSun" w:cs="Arial"/>
          <w:color w:val="auto"/>
          <w:sz w:val="24"/>
          <w:lang w:eastAsia="zh-CN"/>
        </w:rPr>
        <w:t>The ‘lines’ across which the University would not wish to cross, and where the University’s Senior Leadership Team and the Board of Governors would need to intervene.</w:t>
      </w:r>
    </w:p>
    <w:p w14:paraId="0A205B9F" w14:textId="77777777" w:rsidR="00E1000F" w:rsidRPr="00220A07" w:rsidRDefault="00E1000F" w:rsidP="0068196F">
      <w:pPr>
        <w:spacing w:after="160" w:line="240" w:lineRule="auto"/>
        <w:ind w:left="360" w:firstLine="0"/>
        <w:contextualSpacing/>
        <w:jc w:val="left"/>
        <w:rPr>
          <w:rFonts w:eastAsia="SimSun" w:cs="Arial"/>
          <w:b/>
          <w:bCs/>
          <w:color w:val="auto"/>
          <w:sz w:val="24"/>
          <w:lang w:eastAsia="zh-CN"/>
        </w:rPr>
      </w:pPr>
    </w:p>
    <w:p w14:paraId="7B966D96" w14:textId="39E6FBE4" w:rsidR="00777B2C" w:rsidRPr="00C251FA" w:rsidRDefault="00777B2C" w:rsidP="009700E0">
      <w:pPr>
        <w:pStyle w:val="Heading1"/>
        <w:numPr>
          <w:ilvl w:val="0"/>
          <w:numId w:val="30"/>
        </w:numPr>
      </w:pPr>
      <w:r w:rsidRPr="00C251FA">
        <w:t>Risk appetite: key</w:t>
      </w:r>
    </w:p>
    <w:p w14:paraId="54F704A2" w14:textId="77777777" w:rsidR="00777B2C" w:rsidRPr="00220A07" w:rsidRDefault="00777B2C" w:rsidP="0068196F">
      <w:pPr>
        <w:spacing w:before="240" w:after="160" w:line="240" w:lineRule="auto"/>
        <w:ind w:left="0" w:firstLine="0"/>
        <w:jc w:val="left"/>
        <w:rPr>
          <w:rFonts w:eastAsia="SimSun" w:cs="Arial"/>
          <w:color w:val="auto"/>
          <w:sz w:val="24"/>
          <w:lang w:eastAsia="zh-CN"/>
        </w:rPr>
      </w:pPr>
      <w:r w:rsidRPr="00220A07">
        <w:rPr>
          <w:rFonts w:eastAsia="SimSun" w:cs="Arial"/>
          <w:color w:val="auto"/>
          <w:sz w:val="24"/>
          <w:lang w:eastAsia="zh-CN"/>
        </w:rPr>
        <w:t>The University’s appetite to risk will vary depending upon the nature of the activity.</w:t>
      </w:r>
    </w:p>
    <w:p w14:paraId="23799F7B" w14:textId="77777777" w:rsidR="00777B2C" w:rsidRPr="00220A07" w:rsidRDefault="00777B2C" w:rsidP="00777B2C">
      <w:pPr>
        <w:spacing w:after="160" w:line="240" w:lineRule="auto"/>
        <w:ind w:left="0" w:firstLine="0"/>
        <w:jc w:val="left"/>
        <w:rPr>
          <w:rFonts w:eastAsia="SimSun" w:cs="Arial"/>
          <w:bCs/>
          <w:color w:val="auto"/>
          <w:sz w:val="24"/>
          <w:lang w:eastAsia="zh-CN"/>
        </w:rPr>
      </w:pPr>
      <w:r w:rsidRPr="00220A07">
        <w:rPr>
          <w:rFonts w:eastAsia="SimSun" w:cs="Arial"/>
          <w:bCs/>
          <w:color w:val="auto"/>
          <w:sz w:val="24"/>
          <w:lang w:eastAsia="zh-CN"/>
        </w:rPr>
        <w:t>The following key is used to identify the University’s appetite to risk in the key Strategic Plan priority areas described in section 3.</w:t>
      </w:r>
    </w:p>
    <w:tbl>
      <w:tblPr>
        <w:tblStyle w:val="TableGrid3"/>
        <w:tblW w:w="9209" w:type="dxa"/>
        <w:tblLook w:val="04A0" w:firstRow="1" w:lastRow="0" w:firstColumn="1" w:lastColumn="0" w:noHBand="0" w:noVBand="1"/>
        <w:tblCaption w:val="Risk appetite: key"/>
        <w:tblDescription w:val="The table is divided in two columns, one with the risk appetite key e.g averse, cautious, moderate, open and hungry and in the second column there is a description of each of the words."/>
      </w:tblPr>
      <w:tblGrid>
        <w:gridCol w:w="1838"/>
        <w:gridCol w:w="7371"/>
      </w:tblGrid>
      <w:tr w:rsidR="00777B2C" w:rsidRPr="00220A07" w14:paraId="38878842" w14:textId="77777777" w:rsidTr="001724AA">
        <w:tc>
          <w:tcPr>
            <w:tcW w:w="1838" w:type="dxa"/>
            <w:shd w:val="clear" w:color="auto" w:fill="E2EFD9"/>
          </w:tcPr>
          <w:p w14:paraId="0BE8095A" w14:textId="77777777" w:rsidR="00777B2C" w:rsidRPr="00602C10" w:rsidRDefault="00777B2C" w:rsidP="001724AA">
            <w:pPr>
              <w:rPr>
                <w:rFonts w:eastAsia="SimSun"/>
                <w:b/>
                <w:bCs/>
                <w:color w:val="auto"/>
                <w:sz w:val="24"/>
                <w:lang w:eastAsia="zh-CN"/>
              </w:rPr>
            </w:pPr>
            <w:r w:rsidRPr="00602C10">
              <w:rPr>
                <w:rFonts w:eastAsia="SimSun"/>
                <w:b/>
                <w:bCs/>
                <w:color w:val="auto"/>
                <w:sz w:val="24"/>
                <w:lang w:eastAsia="zh-CN"/>
              </w:rPr>
              <w:t>AVERSE</w:t>
            </w:r>
          </w:p>
        </w:tc>
        <w:tc>
          <w:tcPr>
            <w:tcW w:w="7371" w:type="dxa"/>
          </w:tcPr>
          <w:p w14:paraId="5FBB891A" w14:textId="77777777" w:rsidR="00777B2C" w:rsidRPr="00602C10" w:rsidRDefault="00777B2C" w:rsidP="001724AA">
            <w:pPr>
              <w:rPr>
                <w:rFonts w:eastAsia="SimSun"/>
                <w:b/>
                <w:bCs/>
                <w:color w:val="auto"/>
                <w:sz w:val="24"/>
                <w:lang w:eastAsia="zh-CN"/>
              </w:rPr>
            </w:pPr>
            <w:r w:rsidRPr="00602C10">
              <w:rPr>
                <w:rFonts w:eastAsia="SimSun"/>
                <w:color w:val="auto"/>
                <w:sz w:val="24"/>
                <w:lang w:eastAsia="zh-CN"/>
              </w:rPr>
              <w:t>Prepared to accept only the very lowest levels of risk, with the preference being for ultra-safe delivery options, while recognising that these will have little or no potential for reward/return.</w:t>
            </w:r>
          </w:p>
        </w:tc>
      </w:tr>
      <w:tr w:rsidR="00777B2C" w:rsidRPr="00220A07" w14:paraId="732373C5" w14:textId="77777777" w:rsidTr="001724AA">
        <w:tc>
          <w:tcPr>
            <w:tcW w:w="1838" w:type="dxa"/>
            <w:shd w:val="clear" w:color="auto" w:fill="C5E0B3"/>
          </w:tcPr>
          <w:p w14:paraId="42830F56" w14:textId="77777777" w:rsidR="00777B2C" w:rsidRPr="00602C10" w:rsidRDefault="00777B2C" w:rsidP="001724AA">
            <w:pPr>
              <w:rPr>
                <w:rFonts w:eastAsia="SimSun"/>
                <w:b/>
                <w:bCs/>
                <w:color w:val="auto"/>
                <w:sz w:val="24"/>
                <w:lang w:eastAsia="zh-CN"/>
              </w:rPr>
            </w:pPr>
            <w:r w:rsidRPr="00602C10">
              <w:rPr>
                <w:rFonts w:eastAsia="SimSun"/>
                <w:b/>
                <w:bCs/>
                <w:color w:val="auto"/>
                <w:sz w:val="24"/>
                <w:lang w:eastAsia="zh-CN"/>
              </w:rPr>
              <w:t>CAUTIOUS</w:t>
            </w:r>
          </w:p>
        </w:tc>
        <w:tc>
          <w:tcPr>
            <w:tcW w:w="7371" w:type="dxa"/>
          </w:tcPr>
          <w:p w14:paraId="38F03B65" w14:textId="77777777" w:rsidR="00777B2C" w:rsidRPr="00602C10" w:rsidRDefault="00777B2C" w:rsidP="001724AA">
            <w:pPr>
              <w:rPr>
                <w:rFonts w:eastAsia="SimSun"/>
                <w:b/>
                <w:bCs/>
                <w:color w:val="auto"/>
                <w:sz w:val="24"/>
                <w:lang w:eastAsia="zh-CN"/>
              </w:rPr>
            </w:pPr>
            <w:r w:rsidRPr="00602C10">
              <w:rPr>
                <w:rFonts w:eastAsia="SimSun"/>
                <w:color w:val="auto"/>
                <w:sz w:val="24"/>
                <w:lang w:eastAsia="zh-CN"/>
              </w:rPr>
              <w:t>Willing to accept some low risks, while maintaining an overall preference for safe delivery options despite the probability of these having mostly restricted potential for reward/return.</w:t>
            </w:r>
          </w:p>
        </w:tc>
      </w:tr>
      <w:tr w:rsidR="00777B2C" w:rsidRPr="00220A07" w14:paraId="2DC30B90" w14:textId="77777777" w:rsidTr="001724AA">
        <w:tc>
          <w:tcPr>
            <w:tcW w:w="1838" w:type="dxa"/>
            <w:shd w:val="clear" w:color="auto" w:fill="A8D08D"/>
          </w:tcPr>
          <w:p w14:paraId="321D43DA" w14:textId="77777777" w:rsidR="00777B2C" w:rsidRPr="00602C10" w:rsidRDefault="00777B2C" w:rsidP="001724AA">
            <w:pPr>
              <w:rPr>
                <w:rFonts w:eastAsia="SimSun"/>
                <w:b/>
                <w:bCs/>
                <w:color w:val="auto"/>
                <w:sz w:val="24"/>
                <w:lang w:eastAsia="zh-CN"/>
              </w:rPr>
            </w:pPr>
            <w:r w:rsidRPr="00602C10">
              <w:rPr>
                <w:rFonts w:eastAsia="SimSun"/>
                <w:b/>
                <w:bCs/>
                <w:color w:val="auto"/>
                <w:sz w:val="24"/>
                <w:lang w:eastAsia="zh-CN"/>
              </w:rPr>
              <w:t>MODERATE</w:t>
            </w:r>
          </w:p>
        </w:tc>
        <w:tc>
          <w:tcPr>
            <w:tcW w:w="7371" w:type="dxa"/>
          </w:tcPr>
          <w:p w14:paraId="27C0E2A1" w14:textId="77777777" w:rsidR="00777B2C" w:rsidRPr="00602C10" w:rsidRDefault="00777B2C" w:rsidP="001724AA">
            <w:pPr>
              <w:rPr>
                <w:rFonts w:eastAsia="SimSun"/>
                <w:b/>
                <w:bCs/>
                <w:color w:val="auto"/>
                <w:sz w:val="24"/>
                <w:lang w:eastAsia="zh-CN"/>
              </w:rPr>
            </w:pPr>
            <w:r w:rsidRPr="00602C10">
              <w:rPr>
                <w:rFonts w:eastAsia="SimSun"/>
                <w:color w:val="auto"/>
                <w:sz w:val="24"/>
                <w:lang w:eastAsia="zh-CN"/>
              </w:rPr>
              <w:t>Inclined towards a balanced approach to achieving objectives, with exposure limited to moderate level risks and an acceptance of some resulting limitations on the level of reward/return.</w:t>
            </w:r>
          </w:p>
        </w:tc>
      </w:tr>
      <w:tr w:rsidR="00777B2C" w:rsidRPr="00220A07" w14:paraId="52399984" w14:textId="77777777" w:rsidTr="001724AA">
        <w:tc>
          <w:tcPr>
            <w:tcW w:w="1838" w:type="dxa"/>
            <w:shd w:val="clear" w:color="auto" w:fill="538135"/>
          </w:tcPr>
          <w:p w14:paraId="2E9F5B52" w14:textId="77777777" w:rsidR="00777B2C" w:rsidRPr="00602C10" w:rsidRDefault="00777B2C" w:rsidP="001724AA">
            <w:pPr>
              <w:rPr>
                <w:rFonts w:eastAsia="SimSun"/>
                <w:b/>
                <w:bCs/>
                <w:color w:val="auto"/>
                <w:sz w:val="24"/>
                <w:lang w:eastAsia="zh-CN"/>
              </w:rPr>
            </w:pPr>
            <w:r w:rsidRPr="00602C10">
              <w:rPr>
                <w:rFonts w:eastAsia="SimSun"/>
                <w:b/>
                <w:bCs/>
                <w:color w:val="auto"/>
                <w:sz w:val="24"/>
                <w:lang w:eastAsia="zh-CN"/>
              </w:rPr>
              <w:lastRenderedPageBreak/>
              <w:t>OPEN</w:t>
            </w:r>
          </w:p>
        </w:tc>
        <w:tc>
          <w:tcPr>
            <w:tcW w:w="7371" w:type="dxa"/>
          </w:tcPr>
          <w:p w14:paraId="327F219F" w14:textId="77777777" w:rsidR="00777B2C" w:rsidRPr="00602C10" w:rsidRDefault="00777B2C" w:rsidP="001724AA">
            <w:pPr>
              <w:rPr>
                <w:rFonts w:eastAsia="SimSun"/>
                <w:b/>
                <w:bCs/>
                <w:color w:val="auto"/>
                <w:sz w:val="24"/>
                <w:lang w:eastAsia="zh-CN"/>
              </w:rPr>
            </w:pPr>
            <w:r w:rsidRPr="00602C10">
              <w:rPr>
                <w:rFonts w:eastAsia="SimSun"/>
                <w:color w:val="auto"/>
                <w:sz w:val="24"/>
                <w:lang w:eastAsia="zh-CN"/>
              </w:rPr>
              <w:t>Prepared to consider all delivery options and select those with the highest probability of productive outcomes, even when there are elevated levels of associated risk.</w:t>
            </w:r>
          </w:p>
        </w:tc>
      </w:tr>
      <w:tr w:rsidR="00777B2C" w:rsidRPr="00220A07" w14:paraId="638C7260" w14:textId="77777777" w:rsidTr="001724AA">
        <w:tc>
          <w:tcPr>
            <w:tcW w:w="1838" w:type="dxa"/>
            <w:shd w:val="clear" w:color="auto" w:fill="385623"/>
          </w:tcPr>
          <w:p w14:paraId="06C3451B" w14:textId="77777777" w:rsidR="00777B2C" w:rsidRPr="00602C10" w:rsidRDefault="00777B2C" w:rsidP="001724AA">
            <w:pPr>
              <w:rPr>
                <w:rFonts w:eastAsia="SimSun"/>
                <w:b/>
                <w:bCs/>
                <w:color w:val="auto"/>
                <w:sz w:val="24"/>
                <w:lang w:eastAsia="zh-CN"/>
              </w:rPr>
            </w:pPr>
            <w:r w:rsidRPr="00602C10">
              <w:rPr>
                <w:rFonts w:eastAsia="SimSun"/>
                <w:b/>
                <w:bCs/>
                <w:color w:val="FFFFFF" w:themeColor="background1"/>
                <w:sz w:val="24"/>
                <w:lang w:eastAsia="zh-CN"/>
              </w:rPr>
              <w:t>HUNGRY</w:t>
            </w:r>
          </w:p>
        </w:tc>
        <w:tc>
          <w:tcPr>
            <w:tcW w:w="7371" w:type="dxa"/>
          </w:tcPr>
          <w:p w14:paraId="0C3EE2B8" w14:textId="77777777" w:rsidR="00777B2C" w:rsidRPr="00602C10" w:rsidRDefault="00777B2C" w:rsidP="001724AA">
            <w:pPr>
              <w:rPr>
                <w:rFonts w:eastAsia="SimSun"/>
                <w:b/>
                <w:bCs/>
                <w:color w:val="auto"/>
                <w:sz w:val="24"/>
                <w:lang w:eastAsia="zh-CN"/>
              </w:rPr>
            </w:pPr>
            <w:r w:rsidRPr="00602C10">
              <w:rPr>
                <w:rFonts w:eastAsia="SimSun"/>
                <w:color w:val="auto"/>
                <w:sz w:val="24"/>
                <w:lang w:eastAsia="zh-CN"/>
              </w:rPr>
              <w:t xml:space="preserve">Eager to seek original/creative/pioneering delivery options and to accept the associated substantial risk levels </w:t>
            </w:r>
            <w:proofErr w:type="gramStart"/>
            <w:r w:rsidRPr="00602C10">
              <w:rPr>
                <w:rFonts w:eastAsia="SimSun"/>
                <w:color w:val="auto"/>
                <w:sz w:val="24"/>
                <w:lang w:eastAsia="zh-CN"/>
              </w:rPr>
              <w:t>in order to</w:t>
            </w:r>
            <w:proofErr w:type="gramEnd"/>
            <w:r w:rsidRPr="00602C10">
              <w:rPr>
                <w:rFonts w:eastAsia="SimSun"/>
                <w:color w:val="auto"/>
                <w:sz w:val="24"/>
                <w:lang w:eastAsia="zh-CN"/>
              </w:rPr>
              <w:t xml:space="preserve"> secure successful outcomes and meaningful reward/return.</w:t>
            </w:r>
          </w:p>
        </w:tc>
      </w:tr>
    </w:tbl>
    <w:p w14:paraId="1E0CBC4C" w14:textId="77777777" w:rsidR="00777B2C" w:rsidRPr="00220A07" w:rsidRDefault="00777B2C" w:rsidP="00777B2C">
      <w:pPr>
        <w:spacing w:after="160" w:line="240" w:lineRule="auto"/>
        <w:ind w:left="0" w:firstLine="0"/>
        <w:jc w:val="left"/>
        <w:rPr>
          <w:rFonts w:eastAsia="SimSun" w:cs="Arial"/>
          <w:color w:val="auto"/>
          <w:sz w:val="24"/>
          <w:lang w:eastAsia="zh-CN"/>
        </w:rPr>
      </w:pPr>
    </w:p>
    <w:p w14:paraId="4998AE11" w14:textId="77777777" w:rsidR="00777B2C" w:rsidRPr="00220A07" w:rsidRDefault="00777B2C" w:rsidP="00777B2C">
      <w:pPr>
        <w:spacing w:after="160" w:line="240" w:lineRule="auto"/>
        <w:ind w:left="0" w:firstLine="0"/>
        <w:jc w:val="left"/>
        <w:rPr>
          <w:rFonts w:eastAsia="SimSun" w:cs="Arial"/>
          <w:b/>
          <w:bCs/>
          <w:color w:val="auto"/>
          <w:sz w:val="24"/>
          <w:lang w:eastAsia="zh-CN"/>
        </w:rPr>
      </w:pPr>
    </w:p>
    <w:p w14:paraId="015AAF93" w14:textId="03FB4AAA" w:rsidR="00777B2C" w:rsidRPr="00C251FA" w:rsidRDefault="00777B2C" w:rsidP="009700E0">
      <w:pPr>
        <w:pStyle w:val="Heading1"/>
        <w:numPr>
          <w:ilvl w:val="0"/>
          <w:numId w:val="30"/>
        </w:numPr>
      </w:pPr>
      <w:r w:rsidRPr="00C251FA">
        <w:t>Risk appetite levels for Strategic Plan priorities</w:t>
      </w:r>
    </w:p>
    <w:p w14:paraId="0F0E5560" w14:textId="77777777" w:rsidR="00777B2C" w:rsidRPr="00220A07" w:rsidRDefault="00777B2C" w:rsidP="00777B2C">
      <w:pPr>
        <w:spacing w:after="160" w:line="240" w:lineRule="auto"/>
        <w:ind w:left="0" w:firstLine="0"/>
        <w:jc w:val="left"/>
        <w:rPr>
          <w:rFonts w:eastAsia="SimSun" w:cs="Arial"/>
          <w:color w:val="auto"/>
          <w:sz w:val="24"/>
          <w:lang w:eastAsia="zh-CN"/>
        </w:rPr>
      </w:pPr>
      <w:r w:rsidRPr="00220A07">
        <w:rPr>
          <w:rFonts w:eastAsia="SimSun" w:cs="Arial"/>
          <w:color w:val="auto"/>
          <w:sz w:val="24"/>
          <w:lang w:eastAsia="zh-CN"/>
        </w:rPr>
        <w:t xml:space="preserve">The descriptions in the table below define the University’s appetite to risk in key strategic areas, according to the strategic priorities in the </w:t>
      </w:r>
      <w:r w:rsidRPr="00B46122">
        <w:rPr>
          <w:rFonts w:eastAsia="SimSun" w:cs="Arial"/>
          <w:color w:val="auto"/>
          <w:sz w:val="24"/>
          <w:lang w:eastAsia="zh-CN"/>
        </w:rPr>
        <w:t>Strategic Plan 2019/20-2024/25.</w:t>
      </w:r>
      <w:r w:rsidRPr="00220A07">
        <w:rPr>
          <w:rFonts w:eastAsia="SimSun" w:cs="Arial"/>
          <w:color w:val="auto"/>
          <w:sz w:val="24"/>
          <w:lang w:eastAsia="zh-CN"/>
        </w:rPr>
        <w:t xml:space="preserve"> These are likely to be modified as the Board continues to review the Strategic Plan at its mid-term.</w:t>
      </w:r>
    </w:p>
    <w:p w14:paraId="33EDF57B" w14:textId="77777777" w:rsidR="00777B2C" w:rsidRPr="00220A07" w:rsidRDefault="00777B2C" w:rsidP="00777B2C">
      <w:pPr>
        <w:spacing w:after="160" w:line="240" w:lineRule="auto"/>
        <w:ind w:left="0" w:firstLine="0"/>
        <w:jc w:val="left"/>
        <w:rPr>
          <w:rFonts w:eastAsia="SimSun" w:cs="Arial"/>
          <w:color w:val="auto"/>
          <w:sz w:val="24"/>
          <w:lang w:eastAsia="zh-CN"/>
        </w:rPr>
      </w:pPr>
      <w:r w:rsidRPr="00220A07">
        <w:rPr>
          <w:rFonts w:eastAsia="SimSun" w:cs="Arial"/>
          <w:color w:val="auto"/>
          <w:sz w:val="24"/>
          <w:lang w:eastAsia="zh-CN"/>
        </w:rPr>
        <w:t xml:space="preserve">The University’s approach is to minimise its exposure to reputational, compliance and financial risk, while accepting and encouraging more risk in pursuit of its mission and objectives.  It recognises that its appetite for risk varies according to the activity undertaken, and that its acceptance of risk is subject always to ensuring that potential benefits and risks are fully understood before developments are authorised, and that sensible measures to mitigate risk are established. </w:t>
      </w:r>
    </w:p>
    <w:p w14:paraId="4AEF381A" w14:textId="5B9B0F6D" w:rsidR="00777B2C" w:rsidRPr="00220A07" w:rsidRDefault="00777B2C" w:rsidP="00777B2C">
      <w:pPr>
        <w:spacing w:after="160" w:line="240" w:lineRule="auto"/>
        <w:ind w:left="0" w:firstLine="0"/>
        <w:jc w:val="left"/>
        <w:rPr>
          <w:rFonts w:eastAsia="SimSun" w:cs="Arial"/>
          <w:sz w:val="24"/>
          <w:lang w:eastAsia="zh-CN"/>
        </w:rPr>
      </w:pPr>
      <w:r w:rsidRPr="00220A07">
        <w:rPr>
          <w:rFonts w:eastAsia="SimSun" w:cs="Arial"/>
          <w:sz w:val="24"/>
          <w:lang w:eastAsia="zh-CN"/>
        </w:rPr>
        <w:t>The need to avoid reputational, compliance and financial risk will take priority over other factors: e.g. it will be acceptable to undertake risks in activities that further the University's objectives in improving quality in education and employment outcomes, providing they do not expose the University to undue reputational or compliance or financial risks.  A balanced assessment will always be taken of risks - in many cases, there are risks attached to both doing something and doing nothing.</w:t>
      </w:r>
    </w:p>
    <w:p w14:paraId="66ABAB20" w14:textId="77777777" w:rsidR="00E1000F" w:rsidRPr="00220A07" w:rsidRDefault="00E1000F" w:rsidP="00777B2C">
      <w:pPr>
        <w:spacing w:after="160" w:line="240" w:lineRule="auto"/>
        <w:ind w:left="0" w:firstLine="0"/>
        <w:jc w:val="left"/>
        <w:rPr>
          <w:rFonts w:eastAsia="SimSun" w:cs="Arial"/>
          <w:sz w:val="24"/>
          <w:lang w:eastAsia="zh-CN"/>
        </w:rPr>
      </w:pPr>
    </w:p>
    <w:tbl>
      <w:tblPr>
        <w:tblStyle w:val="TableGrid3"/>
        <w:tblW w:w="0" w:type="auto"/>
        <w:tblLook w:val="04A0" w:firstRow="1" w:lastRow="0" w:firstColumn="1" w:lastColumn="0" w:noHBand="0" w:noVBand="1"/>
        <w:tblCaption w:val="Risk appetite levels for Strategic Plan priorities"/>
        <w:tblDescription w:val="The table has three columns, one with the strategic plan priority, the second one with the risk appetire level and the third one with the rationale"/>
      </w:tblPr>
      <w:tblGrid>
        <w:gridCol w:w="2122"/>
        <w:gridCol w:w="1559"/>
        <w:gridCol w:w="5335"/>
      </w:tblGrid>
      <w:tr w:rsidR="00777B2C" w:rsidRPr="00220A07" w14:paraId="17E326BD" w14:textId="77777777" w:rsidTr="001724AA">
        <w:trPr>
          <w:tblHeader/>
        </w:trPr>
        <w:tc>
          <w:tcPr>
            <w:tcW w:w="2122" w:type="dxa"/>
          </w:tcPr>
          <w:p w14:paraId="27040978" w14:textId="77777777" w:rsidR="00777B2C" w:rsidRPr="00220A07" w:rsidRDefault="00777B2C" w:rsidP="001724AA">
            <w:pPr>
              <w:rPr>
                <w:rFonts w:eastAsia="SimSun"/>
                <w:b/>
                <w:bCs/>
                <w:color w:val="auto"/>
                <w:sz w:val="24"/>
                <w:lang w:eastAsia="zh-CN"/>
              </w:rPr>
            </w:pPr>
            <w:r w:rsidRPr="00220A07">
              <w:rPr>
                <w:rFonts w:eastAsia="SimSun"/>
                <w:b/>
                <w:bCs/>
                <w:color w:val="auto"/>
                <w:sz w:val="24"/>
                <w:lang w:eastAsia="zh-CN"/>
              </w:rPr>
              <w:t xml:space="preserve">Strategic Plan priority </w:t>
            </w:r>
          </w:p>
        </w:tc>
        <w:tc>
          <w:tcPr>
            <w:tcW w:w="1559" w:type="dxa"/>
          </w:tcPr>
          <w:p w14:paraId="60EC1423" w14:textId="77777777" w:rsidR="00777B2C" w:rsidRPr="00220A07" w:rsidRDefault="00777B2C" w:rsidP="001724AA">
            <w:pPr>
              <w:rPr>
                <w:rFonts w:eastAsia="SimSun"/>
                <w:b/>
                <w:bCs/>
                <w:color w:val="auto"/>
                <w:sz w:val="24"/>
                <w:lang w:eastAsia="zh-CN"/>
              </w:rPr>
            </w:pPr>
            <w:r w:rsidRPr="00220A07">
              <w:rPr>
                <w:rFonts w:eastAsia="SimSun"/>
                <w:b/>
                <w:bCs/>
                <w:color w:val="auto"/>
                <w:sz w:val="24"/>
                <w:lang w:eastAsia="zh-CN"/>
              </w:rPr>
              <w:t>Risk appetite level</w:t>
            </w:r>
          </w:p>
          <w:p w14:paraId="5BCD70DC" w14:textId="77777777" w:rsidR="00777B2C" w:rsidRPr="00220A07" w:rsidRDefault="00777B2C" w:rsidP="001724AA">
            <w:pPr>
              <w:rPr>
                <w:rFonts w:eastAsia="SimSun"/>
                <w:b/>
                <w:bCs/>
                <w:color w:val="auto"/>
                <w:sz w:val="24"/>
                <w:lang w:eastAsia="zh-CN"/>
              </w:rPr>
            </w:pPr>
          </w:p>
        </w:tc>
        <w:tc>
          <w:tcPr>
            <w:tcW w:w="5335" w:type="dxa"/>
          </w:tcPr>
          <w:p w14:paraId="736F8235" w14:textId="77777777" w:rsidR="00777B2C" w:rsidRPr="00220A07" w:rsidRDefault="00777B2C" w:rsidP="001724AA">
            <w:pPr>
              <w:rPr>
                <w:rFonts w:eastAsia="SimSun"/>
                <w:b/>
                <w:bCs/>
                <w:color w:val="auto"/>
                <w:sz w:val="24"/>
                <w:lang w:eastAsia="zh-CN"/>
              </w:rPr>
            </w:pPr>
            <w:r w:rsidRPr="00220A07">
              <w:rPr>
                <w:rFonts w:eastAsia="SimSun"/>
                <w:b/>
                <w:bCs/>
                <w:color w:val="auto"/>
                <w:sz w:val="24"/>
                <w:lang w:eastAsia="zh-CN"/>
              </w:rPr>
              <w:t xml:space="preserve">Rationale </w:t>
            </w:r>
          </w:p>
        </w:tc>
      </w:tr>
      <w:tr w:rsidR="00777B2C" w:rsidRPr="00220A07" w14:paraId="3E188C63" w14:textId="77777777" w:rsidTr="00C06AB4">
        <w:tc>
          <w:tcPr>
            <w:tcW w:w="2122" w:type="dxa"/>
          </w:tcPr>
          <w:p w14:paraId="0051E154" w14:textId="77777777" w:rsidR="00777B2C" w:rsidRPr="00220A07" w:rsidRDefault="00777B2C" w:rsidP="001724AA">
            <w:pPr>
              <w:rPr>
                <w:rFonts w:eastAsia="SimSun"/>
                <w:color w:val="auto"/>
                <w:sz w:val="24"/>
                <w:lang w:eastAsia="zh-CN"/>
              </w:rPr>
            </w:pPr>
            <w:r w:rsidRPr="00220A07">
              <w:rPr>
                <w:rFonts w:eastAsia="SimSun"/>
                <w:color w:val="auto"/>
                <w:sz w:val="24"/>
                <w:lang w:eastAsia="zh-CN"/>
              </w:rPr>
              <w:t>Starting with our people</w:t>
            </w:r>
          </w:p>
        </w:tc>
        <w:tc>
          <w:tcPr>
            <w:tcW w:w="1559" w:type="dxa"/>
            <w:shd w:val="clear" w:color="auto" w:fill="A8D08D"/>
          </w:tcPr>
          <w:p w14:paraId="603DFDA0" w14:textId="3622333E" w:rsidR="00777B2C" w:rsidRPr="00220A07" w:rsidRDefault="00C06AB4" w:rsidP="001724AA">
            <w:pPr>
              <w:rPr>
                <w:rFonts w:eastAsia="SimSun"/>
                <w:b/>
                <w:color w:val="auto"/>
                <w:sz w:val="24"/>
                <w:lang w:eastAsia="zh-CN"/>
              </w:rPr>
            </w:pPr>
            <w:r>
              <w:rPr>
                <w:rFonts w:eastAsia="SimSun"/>
                <w:b/>
                <w:color w:val="auto"/>
                <w:sz w:val="24"/>
                <w:lang w:eastAsia="zh-CN"/>
              </w:rPr>
              <w:t>Moderate</w:t>
            </w:r>
          </w:p>
        </w:tc>
        <w:tc>
          <w:tcPr>
            <w:tcW w:w="5335" w:type="dxa"/>
          </w:tcPr>
          <w:p w14:paraId="4537C01D" w14:textId="77777777" w:rsidR="00777B2C" w:rsidRPr="00220A07" w:rsidRDefault="00777B2C" w:rsidP="00B2621A">
            <w:pPr>
              <w:numPr>
                <w:ilvl w:val="0"/>
                <w:numId w:val="9"/>
              </w:numPr>
              <w:contextualSpacing/>
              <w:rPr>
                <w:rFonts w:eastAsia="SimSun"/>
                <w:color w:val="auto"/>
                <w:sz w:val="24"/>
                <w:lang w:eastAsia="zh-CN"/>
              </w:rPr>
            </w:pPr>
            <w:r w:rsidRPr="00220A07">
              <w:rPr>
                <w:rFonts w:eastAsia="SimSun"/>
                <w:color w:val="auto"/>
                <w:sz w:val="24"/>
                <w:lang w:eastAsia="zh-CN"/>
              </w:rPr>
              <w:t>Willing to accept some risks but is an area of low resilience</w:t>
            </w:r>
          </w:p>
          <w:p w14:paraId="06D1EA5C" w14:textId="77777777" w:rsidR="00777B2C" w:rsidRPr="00220A07" w:rsidRDefault="00777B2C" w:rsidP="001724AA">
            <w:pPr>
              <w:ind w:left="360"/>
              <w:contextualSpacing/>
              <w:rPr>
                <w:rFonts w:eastAsia="SimSun"/>
                <w:color w:val="auto"/>
                <w:sz w:val="24"/>
                <w:lang w:eastAsia="zh-CN"/>
              </w:rPr>
            </w:pPr>
          </w:p>
        </w:tc>
      </w:tr>
      <w:tr w:rsidR="00777B2C" w:rsidRPr="00220A07" w14:paraId="63676882" w14:textId="77777777" w:rsidTr="001724AA">
        <w:tc>
          <w:tcPr>
            <w:tcW w:w="2122" w:type="dxa"/>
          </w:tcPr>
          <w:p w14:paraId="4ECE77F3" w14:textId="77777777" w:rsidR="00777B2C" w:rsidRPr="00220A07" w:rsidRDefault="00777B2C" w:rsidP="001724AA">
            <w:pPr>
              <w:rPr>
                <w:rFonts w:eastAsia="SimSun"/>
                <w:color w:val="auto"/>
                <w:sz w:val="24"/>
                <w:lang w:eastAsia="zh-CN"/>
              </w:rPr>
            </w:pPr>
            <w:r w:rsidRPr="00220A07">
              <w:rPr>
                <w:rFonts w:eastAsia="SimSun"/>
                <w:color w:val="auto"/>
                <w:sz w:val="24"/>
                <w:lang w:eastAsia="zh-CN"/>
              </w:rPr>
              <w:t>Focusing on student success</w:t>
            </w:r>
          </w:p>
        </w:tc>
        <w:tc>
          <w:tcPr>
            <w:tcW w:w="1559" w:type="dxa"/>
            <w:shd w:val="clear" w:color="auto" w:fill="A8D08D"/>
          </w:tcPr>
          <w:p w14:paraId="61DC71C7" w14:textId="77777777" w:rsidR="00777B2C" w:rsidRPr="00220A07" w:rsidRDefault="00777B2C" w:rsidP="001724AA">
            <w:pPr>
              <w:rPr>
                <w:rFonts w:eastAsia="SimSun"/>
                <w:b/>
                <w:color w:val="auto"/>
                <w:sz w:val="24"/>
                <w:lang w:eastAsia="zh-CN"/>
              </w:rPr>
            </w:pPr>
            <w:r w:rsidRPr="00220A07">
              <w:rPr>
                <w:rFonts w:eastAsia="SimSun"/>
                <w:b/>
                <w:color w:val="auto"/>
                <w:sz w:val="24"/>
                <w:lang w:eastAsia="zh-CN"/>
              </w:rPr>
              <w:t>Moderate</w:t>
            </w:r>
          </w:p>
        </w:tc>
        <w:tc>
          <w:tcPr>
            <w:tcW w:w="5335" w:type="dxa"/>
          </w:tcPr>
          <w:p w14:paraId="6105CA97" w14:textId="77777777" w:rsidR="00777B2C" w:rsidRPr="00220A07" w:rsidRDefault="00777B2C" w:rsidP="00B2621A">
            <w:pPr>
              <w:numPr>
                <w:ilvl w:val="0"/>
                <w:numId w:val="10"/>
              </w:numPr>
              <w:contextualSpacing/>
              <w:rPr>
                <w:rFonts w:eastAsia="SimSun"/>
                <w:color w:val="auto"/>
                <w:sz w:val="24"/>
                <w:lang w:eastAsia="zh-CN"/>
              </w:rPr>
            </w:pPr>
            <w:r w:rsidRPr="00220A07">
              <w:rPr>
                <w:rFonts w:eastAsia="SimSun"/>
                <w:color w:val="auto"/>
                <w:sz w:val="24"/>
                <w:lang w:eastAsia="zh-CN"/>
              </w:rPr>
              <w:t>Willing to take more risks to be distinctive</w:t>
            </w:r>
          </w:p>
          <w:p w14:paraId="3639E0E4" w14:textId="77777777" w:rsidR="00777B2C" w:rsidRPr="00220A07" w:rsidRDefault="00777B2C" w:rsidP="00B2621A">
            <w:pPr>
              <w:numPr>
                <w:ilvl w:val="0"/>
                <w:numId w:val="10"/>
              </w:numPr>
              <w:contextualSpacing/>
              <w:rPr>
                <w:rFonts w:eastAsia="SimSun"/>
                <w:color w:val="auto"/>
                <w:sz w:val="24"/>
                <w:lang w:eastAsia="zh-CN"/>
              </w:rPr>
            </w:pPr>
            <w:r w:rsidRPr="00220A07">
              <w:rPr>
                <w:rFonts w:eastAsia="SimSun"/>
                <w:color w:val="auto"/>
                <w:sz w:val="24"/>
                <w:lang w:eastAsia="zh-CN"/>
              </w:rPr>
              <w:t>Challenging area but one where we feel we can make a real impact</w:t>
            </w:r>
          </w:p>
          <w:p w14:paraId="65756317" w14:textId="77777777" w:rsidR="00777B2C" w:rsidRPr="00220A07" w:rsidRDefault="00777B2C" w:rsidP="001724AA">
            <w:pPr>
              <w:ind w:left="360"/>
              <w:contextualSpacing/>
              <w:rPr>
                <w:rFonts w:eastAsia="SimSun"/>
                <w:color w:val="auto"/>
                <w:sz w:val="24"/>
                <w:lang w:eastAsia="zh-CN"/>
              </w:rPr>
            </w:pPr>
          </w:p>
        </w:tc>
      </w:tr>
      <w:tr w:rsidR="00777B2C" w:rsidRPr="00220A07" w14:paraId="76D9050C" w14:textId="77777777" w:rsidTr="001724AA">
        <w:tc>
          <w:tcPr>
            <w:tcW w:w="2122" w:type="dxa"/>
          </w:tcPr>
          <w:p w14:paraId="1121266F" w14:textId="77777777" w:rsidR="00777B2C" w:rsidRPr="00220A07" w:rsidRDefault="00777B2C" w:rsidP="001724AA">
            <w:pPr>
              <w:rPr>
                <w:rFonts w:eastAsia="SimSun"/>
                <w:color w:val="auto"/>
                <w:sz w:val="24"/>
                <w:lang w:eastAsia="zh-CN"/>
              </w:rPr>
            </w:pPr>
            <w:r w:rsidRPr="00220A07">
              <w:rPr>
                <w:rFonts w:eastAsia="SimSun"/>
                <w:color w:val="auto"/>
                <w:sz w:val="24"/>
                <w:lang w:eastAsia="zh-CN"/>
              </w:rPr>
              <w:t>Growing our research and impact</w:t>
            </w:r>
          </w:p>
        </w:tc>
        <w:tc>
          <w:tcPr>
            <w:tcW w:w="1559" w:type="dxa"/>
            <w:shd w:val="clear" w:color="auto" w:fill="538135"/>
          </w:tcPr>
          <w:p w14:paraId="3FCC36AF" w14:textId="77777777" w:rsidR="00777B2C" w:rsidRPr="00220A07" w:rsidRDefault="00777B2C" w:rsidP="001724AA">
            <w:pPr>
              <w:rPr>
                <w:rFonts w:eastAsia="SimSun"/>
                <w:b/>
                <w:color w:val="auto"/>
                <w:sz w:val="24"/>
                <w:lang w:eastAsia="zh-CN"/>
              </w:rPr>
            </w:pPr>
            <w:r w:rsidRPr="00220A07">
              <w:rPr>
                <w:rFonts w:eastAsia="SimSun"/>
                <w:b/>
                <w:color w:val="auto"/>
                <w:sz w:val="24"/>
                <w:lang w:eastAsia="zh-CN"/>
              </w:rPr>
              <w:t>Open</w:t>
            </w:r>
          </w:p>
        </w:tc>
        <w:tc>
          <w:tcPr>
            <w:tcW w:w="5335" w:type="dxa"/>
          </w:tcPr>
          <w:p w14:paraId="185AA08F" w14:textId="77777777" w:rsidR="00777B2C" w:rsidRPr="00220A07" w:rsidRDefault="00777B2C" w:rsidP="00B2621A">
            <w:pPr>
              <w:numPr>
                <w:ilvl w:val="0"/>
                <w:numId w:val="11"/>
              </w:numPr>
              <w:contextualSpacing/>
              <w:rPr>
                <w:rFonts w:eastAsia="SimSun"/>
                <w:color w:val="auto"/>
                <w:sz w:val="24"/>
                <w:lang w:eastAsia="zh-CN"/>
              </w:rPr>
            </w:pPr>
            <w:r w:rsidRPr="00220A07">
              <w:rPr>
                <w:rFonts w:eastAsia="SimSun"/>
                <w:color w:val="auto"/>
                <w:sz w:val="24"/>
                <w:lang w:eastAsia="zh-CN"/>
              </w:rPr>
              <w:t>Low base so able to take more risks</w:t>
            </w:r>
          </w:p>
          <w:p w14:paraId="67CE3E47" w14:textId="77777777" w:rsidR="00777B2C" w:rsidRPr="00220A07" w:rsidRDefault="00777B2C" w:rsidP="00B2621A">
            <w:pPr>
              <w:numPr>
                <w:ilvl w:val="0"/>
                <w:numId w:val="11"/>
              </w:numPr>
              <w:contextualSpacing/>
              <w:rPr>
                <w:rFonts w:eastAsia="SimSun"/>
                <w:color w:val="auto"/>
                <w:sz w:val="24"/>
                <w:lang w:eastAsia="zh-CN"/>
              </w:rPr>
            </w:pPr>
            <w:r w:rsidRPr="00220A07">
              <w:rPr>
                <w:rFonts w:eastAsia="SimSun"/>
                <w:color w:val="auto"/>
                <w:sz w:val="24"/>
                <w:lang w:eastAsia="zh-CN"/>
              </w:rPr>
              <w:t>Possible gains worth taking an open approach</w:t>
            </w:r>
          </w:p>
          <w:p w14:paraId="6E3809B3" w14:textId="77777777" w:rsidR="00777B2C" w:rsidRPr="00220A07" w:rsidRDefault="00777B2C" w:rsidP="001724AA">
            <w:pPr>
              <w:ind w:left="360"/>
              <w:contextualSpacing/>
              <w:rPr>
                <w:rFonts w:eastAsia="SimSun"/>
                <w:color w:val="auto"/>
                <w:sz w:val="24"/>
                <w:lang w:eastAsia="zh-CN"/>
              </w:rPr>
            </w:pPr>
          </w:p>
        </w:tc>
      </w:tr>
      <w:tr w:rsidR="00777B2C" w:rsidRPr="00220A07" w14:paraId="632B2D3B" w14:textId="77777777" w:rsidTr="001724AA">
        <w:tc>
          <w:tcPr>
            <w:tcW w:w="2122" w:type="dxa"/>
          </w:tcPr>
          <w:p w14:paraId="7EA38249" w14:textId="77777777" w:rsidR="00777B2C" w:rsidRPr="00220A07" w:rsidRDefault="00777B2C" w:rsidP="001724AA">
            <w:pPr>
              <w:rPr>
                <w:rFonts w:eastAsia="SimSun"/>
                <w:color w:val="auto"/>
                <w:sz w:val="24"/>
                <w:lang w:eastAsia="zh-CN"/>
              </w:rPr>
            </w:pPr>
            <w:r w:rsidRPr="00220A07">
              <w:rPr>
                <w:rFonts w:eastAsia="SimSun"/>
                <w:color w:val="auto"/>
                <w:sz w:val="24"/>
                <w:lang w:eastAsia="zh-CN"/>
              </w:rPr>
              <w:t>Giving back to our city</w:t>
            </w:r>
          </w:p>
        </w:tc>
        <w:tc>
          <w:tcPr>
            <w:tcW w:w="1559" w:type="dxa"/>
            <w:shd w:val="clear" w:color="auto" w:fill="A8D08D"/>
          </w:tcPr>
          <w:p w14:paraId="61CA1E22" w14:textId="77777777" w:rsidR="00777B2C" w:rsidRPr="00220A07" w:rsidRDefault="00777B2C" w:rsidP="001724AA">
            <w:pPr>
              <w:rPr>
                <w:rFonts w:eastAsia="SimSun"/>
                <w:b/>
                <w:color w:val="auto"/>
                <w:sz w:val="24"/>
                <w:lang w:eastAsia="zh-CN"/>
              </w:rPr>
            </w:pPr>
            <w:r w:rsidRPr="00220A07">
              <w:rPr>
                <w:rFonts w:eastAsia="SimSun"/>
                <w:b/>
                <w:color w:val="auto"/>
                <w:sz w:val="24"/>
                <w:lang w:eastAsia="zh-CN"/>
              </w:rPr>
              <w:t>Moderate</w:t>
            </w:r>
          </w:p>
        </w:tc>
        <w:tc>
          <w:tcPr>
            <w:tcW w:w="5335" w:type="dxa"/>
          </w:tcPr>
          <w:p w14:paraId="21F2E2AF" w14:textId="77777777" w:rsidR="00777B2C" w:rsidRPr="00220A07" w:rsidRDefault="00777B2C" w:rsidP="00B2621A">
            <w:pPr>
              <w:numPr>
                <w:ilvl w:val="0"/>
                <w:numId w:val="12"/>
              </w:numPr>
              <w:contextualSpacing/>
              <w:rPr>
                <w:rFonts w:eastAsia="SimSun"/>
                <w:color w:val="auto"/>
                <w:sz w:val="24"/>
                <w:lang w:eastAsia="zh-CN"/>
              </w:rPr>
            </w:pPr>
            <w:r w:rsidRPr="00220A07">
              <w:rPr>
                <w:rFonts w:eastAsia="SimSun"/>
                <w:color w:val="auto"/>
                <w:sz w:val="24"/>
                <w:lang w:eastAsia="zh-CN"/>
              </w:rPr>
              <w:t>Important to protect reputation but we are in a strong position</w:t>
            </w:r>
          </w:p>
          <w:p w14:paraId="7DEF0F5D" w14:textId="77777777" w:rsidR="00777B2C" w:rsidRPr="00220A07" w:rsidRDefault="00777B2C" w:rsidP="00B2621A">
            <w:pPr>
              <w:numPr>
                <w:ilvl w:val="0"/>
                <w:numId w:val="12"/>
              </w:numPr>
              <w:contextualSpacing/>
              <w:rPr>
                <w:rFonts w:eastAsia="SimSun"/>
                <w:color w:val="auto"/>
                <w:sz w:val="24"/>
                <w:lang w:eastAsia="zh-CN"/>
              </w:rPr>
            </w:pPr>
            <w:r w:rsidRPr="00220A07">
              <w:rPr>
                <w:rFonts w:eastAsia="SimSun"/>
                <w:color w:val="auto"/>
                <w:sz w:val="24"/>
                <w:lang w:eastAsia="zh-CN"/>
              </w:rPr>
              <w:t>Lots of potential partners</w:t>
            </w:r>
          </w:p>
          <w:p w14:paraId="02F09906" w14:textId="63E21D74" w:rsidR="00777B2C" w:rsidRPr="00220A07" w:rsidRDefault="00777B2C" w:rsidP="00602C10">
            <w:pPr>
              <w:numPr>
                <w:ilvl w:val="0"/>
                <w:numId w:val="12"/>
              </w:numPr>
              <w:contextualSpacing/>
              <w:rPr>
                <w:rFonts w:eastAsia="SimSun"/>
                <w:color w:val="auto"/>
                <w:sz w:val="24"/>
                <w:lang w:eastAsia="zh-CN"/>
              </w:rPr>
            </w:pPr>
            <w:r w:rsidRPr="00220A07">
              <w:rPr>
                <w:rFonts w:eastAsia="SimSun"/>
                <w:color w:val="auto"/>
                <w:sz w:val="24"/>
                <w:lang w:eastAsia="zh-CN"/>
              </w:rPr>
              <w:t>Existing work becoming more publicised</w:t>
            </w:r>
          </w:p>
        </w:tc>
      </w:tr>
      <w:tr w:rsidR="00777B2C" w:rsidRPr="00220A07" w14:paraId="55B6BD90" w14:textId="77777777" w:rsidTr="001724AA">
        <w:tc>
          <w:tcPr>
            <w:tcW w:w="2122" w:type="dxa"/>
          </w:tcPr>
          <w:p w14:paraId="0A73172B" w14:textId="77777777" w:rsidR="00777B2C" w:rsidRPr="00220A07" w:rsidRDefault="00777B2C" w:rsidP="001724AA">
            <w:pPr>
              <w:rPr>
                <w:rFonts w:eastAsia="SimSun"/>
                <w:color w:val="auto"/>
                <w:sz w:val="24"/>
                <w:lang w:eastAsia="zh-CN"/>
              </w:rPr>
            </w:pPr>
            <w:r w:rsidRPr="00220A07">
              <w:rPr>
                <w:rFonts w:eastAsia="SimSun"/>
                <w:color w:val="auto"/>
                <w:sz w:val="24"/>
                <w:lang w:eastAsia="zh-CN"/>
              </w:rPr>
              <w:lastRenderedPageBreak/>
              <w:t>Managed growth and diversification</w:t>
            </w:r>
          </w:p>
        </w:tc>
        <w:tc>
          <w:tcPr>
            <w:tcW w:w="1559" w:type="dxa"/>
            <w:shd w:val="clear" w:color="auto" w:fill="538135"/>
          </w:tcPr>
          <w:p w14:paraId="7C4C71DB" w14:textId="77777777" w:rsidR="00777B2C" w:rsidRPr="00220A07" w:rsidRDefault="00777B2C" w:rsidP="001724AA">
            <w:pPr>
              <w:rPr>
                <w:rFonts w:eastAsia="SimSun"/>
                <w:b/>
                <w:color w:val="auto"/>
                <w:sz w:val="24"/>
                <w:lang w:eastAsia="zh-CN"/>
              </w:rPr>
            </w:pPr>
            <w:r w:rsidRPr="00220A07">
              <w:rPr>
                <w:rFonts w:eastAsia="SimSun"/>
                <w:b/>
                <w:color w:val="auto"/>
                <w:sz w:val="24"/>
                <w:lang w:eastAsia="zh-CN"/>
              </w:rPr>
              <w:t>Open</w:t>
            </w:r>
          </w:p>
        </w:tc>
        <w:tc>
          <w:tcPr>
            <w:tcW w:w="5335" w:type="dxa"/>
          </w:tcPr>
          <w:p w14:paraId="1BB8E954" w14:textId="77777777" w:rsidR="00777B2C" w:rsidRPr="00220A07" w:rsidRDefault="00777B2C" w:rsidP="00B2621A">
            <w:pPr>
              <w:numPr>
                <w:ilvl w:val="0"/>
                <w:numId w:val="14"/>
              </w:numPr>
              <w:contextualSpacing/>
              <w:rPr>
                <w:rFonts w:eastAsia="SimSun"/>
                <w:color w:val="auto"/>
                <w:sz w:val="24"/>
                <w:lang w:eastAsia="zh-CN"/>
              </w:rPr>
            </w:pPr>
            <w:r w:rsidRPr="00220A07">
              <w:rPr>
                <w:rFonts w:eastAsia="SimSun"/>
                <w:color w:val="auto"/>
                <w:sz w:val="24"/>
                <w:lang w:eastAsia="zh-CN"/>
              </w:rPr>
              <w:t>Willing to look at new initiatives at home and overseas</w:t>
            </w:r>
          </w:p>
          <w:p w14:paraId="1FDBFE47" w14:textId="77777777" w:rsidR="00777B2C" w:rsidRPr="00220A07" w:rsidRDefault="00777B2C" w:rsidP="00B2621A">
            <w:pPr>
              <w:numPr>
                <w:ilvl w:val="0"/>
                <w:numId w:val="14"/>
              </w:numPr>
              <w:contextualSpacing/>
              <w:rPr>
                <w:rFonts w:eastAsia="SimSun"/>
                <w:color w:val="auto"/>
                <w:sz w:val="24"/>
                <w:lang w:eastAsia="zh-CN"/>
              </w:rPr>
            </w:pPr>
            <w:r w:rsidRPr="00220A07">
              <w:rPr>
                <w:rFonts w:eastAsia="SimSun"/>
                <w:color w:val="auto"/>
                <w:sz w:val="24"/>
                <w:lang w:eastAsia="zh-CN"/>
              </w:rPr>
              <w:t>Averse/cautious on compliance aspects</w:t>
            </w:r>
          </w:p>
        </w:tc>
      </w:tr>
      <w:tr w:rsidR="00777B2C" w:rsidRPr="00220A07" w14:paraId="20FADE90" w14:textId="77777777" w:rsidTr="00C06AB4">
        <w:tc>
          <w:tcPr>
            <w:tcW w:w="2122" w:type="dxa"/>
          </w:tcPr>
          <w:p w14:paraId="5E9319FF" w14:textId="77777777" w:rsidR="00777B2C" w:rsidRPr="00220A07" w:rsidRDefault="00777B2C" w:rsidP="001724AA">
            <w:pPr>
              <w:rPr>
                <w:rFonts w:eastAsia="SimSun"/>
                <w:color w:val="auto"/>
                <w:sz w:val="24"/>
                <w:lang w:eastAsia="zh-CN"/>
              </w:rPr>
            </w:pPr>
            <w:r w:rsidRPr="00220A07">
              <w:rPr>
                <w:rFonts w:eastAsia="SimSun"/>
                <w:color w:val="auto"/>
                <w:sz w:val="24"/>
                <w:lang w:eastAsia="zh-CN"/>
              </w:rPr>
              <w:t>Vibrant campuses and cutting-edge facilities</w:t>
            </w:r>
          </w:p>
        </w:tc>
        <w:tc>
          <w:tcPr>
            <w:tcW w:w="1559" w:type="dxa"/>
            <w:shd w:val="clear" w:color="auto" w:fill="C5E0B3"/>
          </w:tcPr>
          <w:p w14:paraId="4C593FED" w14:textId="2038BA68" w:rsidR="00777B2C" w:rsidRPr="00220A07" w:rsidRDefault="00C06AB4" w:rsidP="001724AA">
            <w:pPr>
              <w:rPr>
                <w:rFonts w:eastAsia="SimSun"/>
                <w:b/>
                <w:color w:val="auto"/>
                <w:sz w:val="24"/>
                <w:lang w:eastAsia="zh-CN"/>
              </w:rPr>
            </w:pPr>
            <w:r>
              <w:rPr>
                <w:rFonts w:eastAsia="SimSun"/>
                <w:b/>
                <w:color w:val="auto"/>
                <w:sz w:val="24"/>
                <w:lang w:eastAsia="zh-CN"/>
              </w:rPr>
              <w:t>Cautious</w:t>
            </w:r>
          </w:p>
        </w:tc>
        <w:tc>
          <w:tcPr>
            <w:tcW w:w="5335" w:type="dxa"/>
          </w:tcPr>
          <w:p w14:paraId="16F63D58" w14:textId="77777777" w:rsidR="00777B2C" w:rsidRPr="00220A07" w:rsidRDefault="00777B2C" w:rsidP="00B2621A">
            <w:pPr>
              <w:numPr>
                <w:ilvl w:val="0"/>
                <w:numId w:val="15"/>
              </w:numPr>
              <w:contextualSpacing/>
              <w:rPr>
                <w:rFonts w:eastAsia="SimSun"/>
                <w:color w:val="auto"/>
                <w:sz w:val="24"/>
                <w:lang w:eastAsia="zh-CN"/>
              </w:rPr>
            </w:pPr>
            <w:r w:rsidRPr="00220A07">
              <w:rPr>
                <w:rFonts w:eastAsia="SimSun"/>
                <w:color w:val="auto"/>
                <w:sz w:val="24"/>
                <w:lang w:eastAsia="zh-CN"/>
              </w:rPr>
              <w:t>Able to accept some risk to ensure improvements in student experience within budget envelope</w:t>
            </w:r>
          </w:p>
          <w:p w14:paraId="7F9C0F10" w14:textId="77777777" w:rsidR="00777B2C" w:rsidRPr="00220A07" w:rsidRDefault="00777B2C" w:rsidP="001724AA">
            <w:pPr>
              <w:ind w:left="360"/>
              <w:contextualSpacing/>
              <w:rPr>
                <w:rFonts w:eastAsia="SimSun"/>
                <w:color w:val="auto"/>
                <w:sz w:val="24"/>
                <w:lang w:eastAsia="zh-CN"/>
              </w:rPr>
            </w:pPr>
          </w:p>
        </w:tc>
      </w:tr>
      <w:tr w:rsidR="00777B2C" w:rsidRPr="00220A07" w14:paraId="4B18F333" w14:textId="77777777" w:rsidTr="001724AA">
        <w:tc>
          <w:tcPr>
            <w:tcW w:w="2122" w:type="dxa"/>
          </w:tcPr>
          <w:p w14:paraId="5338F6A1" w14:textId="77777777" w:rsidR="00777B2C" w:rsidRPr="00220A07" w:rsidRDefault="00777B2C" w:rsidP="001724AA">
            <w:pPr>
              <w:rPr>
                <w:rFonts w:eastAsia="SimSun"/>
                <w:color w:val="auto"/>
                <w:sz w:val="24"/>
                <w:lang w:eastAsia="zh-CN"/>
              </w:rPr>
            </w:pPr>
            <w:r w:rsidRPr="00220A07">
              <w:rPr>
                <w:rFonts w:eastAsia="SimSun"/>
                <w:color w:val="auto"/>
                <w:sz w:val="24"/>
                <w:lang w:eastAsia="zh-CN"/>
              </w:rPr>
              <w:t>Sustainable finances</w:t>
            </w:r>
          </w:p>
        </w:tc>
        <w:tc>
          <w:tcPr>
            <w:tcW w:w="1559" w:type="dxa"/>
            <w:shd w:val="clear" w:color="auto" w:fill="C5E0B3"/>
          </w:tcPr>
          <w:p w14:paraId="4B5A60CB" w14:textId="77777777" w:rsidR="00777B2C" w:rsidRPr="00220A07" w:rsidRDefault="00777B2C" w:rsidP="001724AA">
            <w:pPr>
              <w:rPr>
                <w:rFonts w:eastAsia="SimSun"/>
                <w:b/>
                <w:color w:val="auto"/>
                <w:sz w:val="24"/>
                <w:lang w:eastAsia="zh-CN"/>
              </w:rPr>
            </w:pPr>
            <w:r w:rsidRPr="00220A07">
              <w:rPr>
                <w:rFonts w:eastAsia="SimSun"/>
                <w:b/>
                <w:color w:val="auto"/>
                <w:sz w:val="24"/>
                <w:lang w:eastAsia="zh-CN"/>
              </w:rPr>
              <w:t>Cautious</w:t>
            </w:r>
          </w:p>
        </w:tc>
        <w:tc>
          <w:tcPr>
            <w:tcW w:w="5335" w:type="dxa"/>
          </w:tcPr>
          <w:p w14:paraId="65403192" w14:textId="77777777" w:rsidR="00777B2C" w:rsidRPr="00220A07" w:rsidRDefault="00777B2C" w:rsidP="00B2621A">
            <w:pPr>
              <w:numPr>
                <w:ilvl w:val="0"/>
                <w:numId w:val="13"/>
              </w:numPr>
              <w:contextualSpacing/>
              <w:rPr>
                <w:rFonts w:eastAsia="SimSun"/>
                <w:color w:val="auto"/>
                <w:sz w:val="24"/>
                <w:lang w:eastAsia="zh-CN"/>
              </w:rPr>
            </w:pPr>
            <w:r w:rsidRPr="00220A07">
              <w:rPr>
                <w:rFonts w:eastAsia="SimSun"/>
                <w:color w:val="auto"/>
                <w:sz w:val="24"/>
                <w:lang w:eastAsia="zh-CN"/>
              </w:rPr>
              <w:t>Remain cautious but good progress shown to date</w:t>
            </w:r>
          </w:p>
          <w:p w14:paraId="6ABAA878" w14:textId="77777777" w:rsidR="00777B2C" w:rsidRPr="00220A07" w:rsidRDefault="00777B2C" w:rsidP="00B2621A">
            <w:pPr>
              <w:numPr>
                <w:ilvl w:val="0"/>
                <w:numId w:val="13"/>
              </w:numPr>
              <w:contextualSpacing/>
              <w:rPr>
                <w:rFonts w:eastAsia="SimSun"/>
                <w:color w:val="auto"/>
                <w:sz w:val="24"/>
                <w:lang w:eastAsia="zh-CN"/>
              </w:rPr>
            </w:pPr>
            <w:r w:rsidRPr="00220A07">
              <w:rPr>
                <w:rFonts w:eastAsia="SimSun"/>
                <w:color w:val="auto"/>
                <w:sz w:val="24"/>
                <w:lang w:eastAsia="zh-CN"/>
              </w:rPr>
              <w:t>Robust and prudent plans in place</w:t>
            </w:r>
          </w:p>
          <w:p w14:paraId="001F47FA" w14:textId="77777777" w:rsidR="00777B2C" w:rsidRPr="00220A07" w:rsidRDefault="00777B2C" w:rsidP="008E1B32">
            <w:pPr>
              <w:ind w:left="360"/>
              <w:contextualSpacing/>
              <w:rPr>
                <w:rFonts w:eastAsia="SimSun"/>
                <w:color w:val="auto"/>
                <w:sz w:val="24"/>
                <w:lang w:eastAsia="zh-CN"/>
              </w:rPr>
            </w:pPr>
          </w:p>
        </w:tc>
      </w:tr>
    </w:tbl>
    <w:p w14:paraId="1736B9E8" w14:textId="77777777" w:rsidR="00777B2C" w:rsidRPr="00220A07" w:rsidRDefault="00777B2C" w:rsidP="00777B2C">
      <w:pPr>
        <w:tabs>
          <w:tab w:val="left" w:pos="142"/>
          <w:tab w:val="left" w:pos="709"/>
        </w:tabs>
        <w:ind w:left="0" w:firstLine="0"/>
        <w:jc w:val="left"/>
        <w:rPr>
          <w:rFonts w:cs="Arial"/>
          <w:sz w:val="24"/>
        </w:rPr>
      </w:pPr>
    </w:p>
    <w:p w14:paraId="4AB0C0E6" w14:textId="79E50481" w:rsidR="005C3928" w:rsidRDefault="005C3928">
      <w:pPr>
        <w:rPr>
          <w:rFonts w:cs="Arial"/>
          <w:b/>
          <w:sz w:val="28"/>
          <w:szCs w:val="28"/>
        </w:rPr>
      </w:pPr>
      <w:r>
        <w:rPr>
          <w:sz w:val="28"/>
          <w:szCs w:val="28"/>
        </w:rPr>
        <w:br w:type="page"/>
      </w:r>
    </w:p>
    <w:p w14:paraId="56A7B664" w14:textId="33372D56" w:rsidR="009700E0" w:rsidRDefault="009700E0" w:rsidP="00C251FA">
      <w:pPr>
        <w:pStyle w:val="Title"/>
        <w:rPr>
          <w:sz w:val="28"/>
          <w:szCs w:val="28"/>
        </w:rPr>
      </w:pPr>
    </w:p>
    <w:p w14:paraId="28787D85" w14:textId="48CE73A4" w:rsidR="00A86664" w:rsidRDefault="00612E3D" w:rsidP="0050318D">
      <w:pPr>
        <w:pStyle w:val="Title"/>
        <w:ind w:firstLine="0"/>
        <w:rPr>
          <w:sz w:val="28"/>
          <w:szCs w:val="28"/>
        </w:rPr>
      </w:pPr>
      <w:r w:rsidRPr="00C251FA">
        <w:rPr>
          <w:sz w:val="28"/>
          <w:szCs w:val="28"/>
        </w:rPr>
        <w:t>A</w:t>
      </w:r>
      <w:r w:rsidR="001B59DC" w:rsidRPr="00C251FA">
        <w:rPr>
          <w:sz w:val="28"/>
          <w:szCs w:val="28"/>
        </w:rPr>
        <w:t>ppendix</w:t>
      </w:r>
      <w:r w:rsidRPr="00C251FA">
        <w:rPr>
          <w:sz w:val="28"/>
          <w:szCs w:val="28"/>
        </w:rPr>
        <w:t xml:space="preserve"> </w:t>
      </w:r>
      <w:r w:rsidR="00777B2C" w:rsidRPr="00C251FA">
        <w:rPr>
          <w:sz w:val="28"/>
          <w:szCs w:val="28"/>
        </w:rPr>
        <w:t>B</w:t>
      </w:r>
      <w:r w:rsidRPr="00C251FA">
        <w:rPr>
          <w:sz w:val="28"/>
          <w:szCs w:val="28"/>
        </w:rPr>
        <w:t xml:space="preserve"> - </w:t>
      </w:r>
      <w:r w:rsidR="00220BE9" w:rsidRPr="00C251FA">
        <w:rPr>
          <w:sz w:val="28"/>
          <w:szCs w:val="28"/>
        </w:rPr>
        <w:t xml:space="preserve">Roles and responsibilities </w:t>
      </w:r>
    </w:p>
    <w:p w14:paraId="00434EF2" w14:textId="77777777" w:rsidR="009700E0" w:rsidRPr="009700E0" w:rsidRDefault="009700E0" w:rsidP="009700E0"/>
    <w:p w14:paraId="317410A3" w14:textId="2E69839A" w:rsidR="00A86664" w:rsidRDefault="00A86664" w:rsidP="00B2621A">
      <w:pPr>
        <w:pStyle w:val="Heading1"/>
        <w:numPr>
          <w:ilvl w:val="0"/>
          <w:numId w:val="21"/>
        </w:numPr>
      </w:pPr>
      <w:r w:rsidRPr="00C251FA">
        <w:t>Role of the Board of Governors</w:t>
      </w:r>
    </w:p>
    <w:p w14:paraId="20EA6B3C" w14:textId="5BB14348" w:rsidR="0040159C" w:rsidRPr="0040159C" w:rsidRDefault="0040159C" w:rsidP="0040159C">
      <w:pPr>
        <w:pStyle w:val="ListParagraph"/>
        <w:numPr>
          <w:ilvl w:val="1"/>
          <w:numId w:val="21"/>
        </w:numPr>
        <w:rPr>
          <w:sz w:val="24"/>
          <w:lang w:eastAsia="zh-CN"/>
        </w:rPr>
      </w:pPr>
      <w:r w:rsidRPr="0040159C">
        <w:rPr>
          <w:sz w:val="24"/>
          <w:lang w:eastAsia="zh-CN"/>
        </w:rPr>
        <w:t xml:space="preserve">The Board of </w:t>
      </w:r>
      <w:r w:rsidR="00291CCB" w:rsidRPr="00291CCB">
        <w:rPr>
          <w:sz w:val="24"/>
          <w:lang w:eastAsia="zh-CN"/>
        </w:rPr>
        <w:t>Governors has a fundamental role to play in the management of risk.  Its role is to:</w:t>
      </w:r>
    </w:p>
    <w:p w14:paraId="68638981" w14:textId="77777777" w:rsidR="009700E0" w:rsidRPr="009700E0" w:rsidRDefault="009700E0" w:rsidP="009700E0">
      <w:pPr>
        <w:rPr>
          <w:lang w:eastAsia="zh-CN"/>
        </w:rPr>
      </w:pPr>
    </w:p>
    <w:p w14:paraId="73D228BB" w14:textId="77777777" w:rsidR="00612E3D" w:rsidRPr="00220A07" w:rsidRDefault="00A86664" w:rsidP="00B2621A">
      <w:pPr>
        <w:pStyle w:val="ListParagraph"/>
        <w:numPr>
          <w:ilvl w:val="2"/>
          <w:numId w:val="22"/>
        </w:numPr>
        <w:tabs>
          <w:tab w:val="left" w:pos="426"/>
        </w:tabs>
        <w:snapToGrid w:val="0"/>
        <w:spacing w:after="120"/>
        <w:ind w:left="850" w:hanging="425"/>
        <w:contextualSpacing w:val="0"/>
        <w:jc w:val="left"/>
        <w:rPr>
          <w:rFonts w:cs="Arial"/>
          <w:sz w:val="24"/>
        </w:rPr>
      </w:pPr>
      <w:r w:rsidRPr="00220A07">
        <w:rPr>
          <w:rFonts w:cs="Arial"/>
          <w:sz w:val="24"/>
        </w:rPr>
        <w:t>Set the tone and influence the culture of risk management within the University.</w:t>
      </w:r>
    </w:p>
    <w:p w14:paraId="60717961" w14:textId="77777777" w:rsidR="00A86664" w:rsidRPr="00220A07" w:rsidRDefault="00A86664" w:rsidP="00B2621A">
      <w:pPr>
        <w:pStyle w:val="ListParagraph"/>
        <w:numPr>
          <w:ilvl w:val="2"/>
          <w:numId w:val="22"/>
        </w:numPr>
        <w:tabs>
          <w:tab w:val="left" w:pos="426"/>
        </w:tabs>
        <w:snapToGrid w:val="0"/>
        <w:spacing w:after="120"/>
        <w:ind w:left="850" w:hanging="425"/>
        <w:contextualSpacing w:val="0"/>
        <w:jc w:val="left"/>
        <w:rPr>
          <w:rFonts w:cs="Arial"/>
          <w:sz w:val="24"/>
        </w:rPr>
      </w:pPr>
      <w:r w:rsidRPr="00220A07">
        <w:rPr>
          <w:rFonts w:cs="Arial"/>
          <w:sz w:val="24"/>
        </w:rPr>
        <w:t>Approve major decisions affecting the University’s risk profile or exposure.</w:t>
      </w:r>
    </w:p>
    <w:p w14:paraId="7C4A6A5B" w14:textId="0194AEC7" w:rsidR="0086586E" w:rsidRPr="00220A07" w:rsidRDefault="0086586E" w:rsidP="00B2621A">
      <w:pPr>
        <w:pStyle w:val="ListParagraph"/>
        <w:numPr>
          <w:ilvl w:val="2"/>
          <w:numId w:val="22"/>
        </w:numPr>
        <w:tabs>
          <w:tab w:val="left" w:pos="426"/>
        </w:tabs>
        <w:snapToGrid w:val="0"/>
        <w:spacing w:after="120"/>
        <w:ind w:left="850" w:hanging="425"/>
        <w:contextualSpacing w:val="0"/>
        <w:jc w:val="left"/>
        <w:rPr>
          <w:rFonts w:cs="Arial"/>
          <w:sz w:val="24"/>
        </w:rPr>
      </w:pPr>
      <w:r w:rsidRPr="00220A07">
        <w:rPr>
          <w:rFonts w:cs="Arial"/>
          <w:sz w:val="24"/>
        </w:rPr>
        <w:t>Regularly review (at least quarterly) the Corporate Risk Register and associated risk management report, following consideration by the Senior Leadership Team</w:t>
      </w:r>
      <w:r w:rsidR="00CA5794" w:rsidRPr="00220A07">
        <w:rPr>
          <w:rFonts w:cs="Arial"/>
          <w:sz w:val="24"/>
        </w:rPr>
        <w:t xml:space="preserve"> and the Audit </w:t>
      </w:r>
      <w:r w:rsidR="00EB28A9">
        <w:rPr>
          <w:rFonts w:cs="Arial"/>
          <w:sz w:val="24"/>
        </w:rPr>
        <w:t xml:space="preserve">and Risk </w:t>
      </w:r>
      <w:r w:rsidR="00CA5794" w:rsidRPr="00220A07">
        <w:rPr>
          <w:rFonts w:cs="Arial"/>
          <w:sz w:val="24"/>
        </w:rPr>
        <w:t>Committee</w:t>
      </w:r>
      <w:r w:rsidRPr="00220A07">
        <w:rPr>
          <w:rFonts w:cs="Arial"/>
          <w:sz w:val="24"/>
        </w:rPr>
        <w:t xml:space="preserve">. </w:t>
      </w:r>
    </w:p>
    <w:p w14:paraId="4DDF2962" w14:textId="68C29B8F" w:rsidR="00A86664" w:rsidRPr="00220A07" w:rsidRDefault="0086586E" w:rsidP="00B2621A">
      <w:pPr>
        <w:pStyle w:val="ListParagraph"/>
        <w:numPr>
          <w:ilvl w:val="2"/>
          <w:numId w:val="22"/>
        </w:numPr>
        <w:tabs>
          <w:tab w:val="left" w:pos="426"/>
        </w:tabs>
        <w:snapToGrid w:val="0"/>
        <w:spacing w:after="120"/>
        <w:ind w:left="850" w:hanging="425"/>
        <w:contextualSpacing w:val="0"/>
        <w:jc w:val="left"/>
        <w:rPr>
          <w:rFonts w:cs="Arial"/>
          <w:sz w:val="24"/>
        </w:rPr>
      </w:pPr>
      <w:r w:rsidRPr="00220A07">
        <w:rPr>
          <w:rFonts w:cs="Arial"/>
          <w:sz w:val="24"/>
        </w:rPr>
        <w:t xml:space="preserve">Approve changes to the </w:t>
      </w:r>
      <w:r w:rsidR="00A86664" w:rsidRPr="00220A07">
        <w:rPr>
          <w:rFonts w:cs="Arial"/>
          <w:sz w:val="24"/>
        </w:rPr>
        <w:t xml:space="preserve">University’s </w:t>
      </w:r>
      <w:r w:rsidRPr="00220A07">
        <w:rPr>
          <w:rFonts w:cs="Arial"/>
          <w:sz w:val="24"/>
        </w:rPr>
        <w:t>Risk Management Policy and Process following review by the Audit</w:t>
      </w:r>
      <w:r w:rsidR="00EB28A9">
        <w:rPr>
          <w:rFonts w:cs="Arial"/>
          <w:sz w:val="24"/>
        </w:rPr>
        <w:t xml:space="preserve"> and Risk</w:t>
      </w:r>
      <w:r w:rsidRPr="00220A07">
        <w:rPr>
          <w:rFonts w:cs="Arial"/>
          <w:sz w:val="24"/>
        </w:rPr>
        <w:t xml:space="preserve"> Committee. </w:t>
      </w:r>
    </w:p>
    <w:p w14:paraId="18279E0A" w14:textId="2288BF9B" w:rsidR="00C251FA" w:rsidRDefault="00CA5794" w:rsidP="00B2621A">
      <w:pPr>
        <w:pStyle w:val="ListParagraph"/>
        <w:numPr>
          <w:ilvl w:val="2"/>
          <w:numId w:val="22"/>
        </w:numPr>
        <w:tabs>
          <w:tab w:val="left" w:pos="426"/>
        </w:tabs>
        <w:snapToGrid w:val="0"/>
        <w:spacing w:after="120"/>
        <w:ind w:left="850" w:hanging="425"/>
        <w:contextualSpacing w:val="0"/>
        <w:jc w:val="left"/>
        <w:rPr>
          <w:rFonts w:cs="Arial"/>
          <w:sz w:val="24"/>
        </w:rPr>
      </w:pPr>
      <w:r w:rsidRPr="00220A07">
        <w:rPr>
          <w:rFonts w:cs="Arial"/>
          <w:sz w:val="24"/>
        </w:rPr>
        <w:t>Approve revisions to the University’s Statement of Risk Appetite following review by the Audit</w:t>
      </w:r>
      <w:r w:rsidR="00EB28A9">
        <w:rPr>
          <w:rFonts w:cs="Arial"/>
          <w:sz w:val="24"/>
        </w:rPr>
        <w:t xml:space="preserve"> and Risk</w:t>
      </w:r>
      <w:r w:rsidRPr="00220A07">
        <w:rPr>
          <w:rFonts w:cs="Arial"/>
          <w:sz w:val="24"/>
        </w:rPr>
        <w:t xml:space="preserve"> Committee.</w:t>
      </w:r>
    </w:p>
    <w:p w14:paraId="4F3F8712" w14:textId="77777777" w:rsidR="00C251FA" w:rsidRPr="009700E0" w:rsidRDefault="00C251FA" w:rsidP="009700E0">
      <w:pPr>
        <w:rPr>
          <w:sz w:val="24"/>
        </w:rPr>
      </w:pPr>
    </w:p>
    <w:p w14:paraId="0543660D" w14:textId="43072A7E" w:rsidR="00A86664" w:rsidRPr="002024D7" w:rsidRDefault="00A86664" w:rsidP="00B2621A">
      <w:pPr>
        <w:pStyle w:val="Heading1"/>
        <w:numPr>
          <w:ilvl w:val="0"/>
          <w:numId w:val="21"/>
        </w:numPr>
      </w:pPr>
      <w:r w:rsidRPr="002024D7">
        <w:t>Role of the Audit Committee</w:t>
      </w:r>
    </w:p>
    <w:p w14:paraId="04F60675" w14:textId="77777777" w:rsidR="002024D7" w:rsidRPr="002024D7" w:rsidRDefault="002024D7" w:rsidP="002024D7"/>
    <w:p w14:paraId="05AEC536" w14:textId="10308D21" w:rsidR="00A86664" w:rsidRDefault="00A86664" w:rsidP="00291CCB">
      <w:pPr>
        <w:pStyle w:val="ListParagraph"/>
        <w:numPr>
          <w:ilvl w:val="1"/>
          <w:numId w:val="21"/>
        </w:numPr>
        <w:rPr>
          <w:sz w:val="24"/>
          <w:lang w:eastAsia="zh-CN"/>
        </w:rPr>
      </w:pPr>
      <w:r w:rsidRPr="00291CCB">
        <w:rPr>
          <w:sz w:val="24"/>
          <w:lang w:eastAsia="zh-CN"/>
        </w:rPr>
        <w:t>The Audit Committee of the Board of Governors takes an active role in the management of risk by:</w:t>
      </w:r>
    </w:p>
    <w:p w14:paraId="31A2DC11" w14:textId="77777777" w:rsidR="00291CCB" w:rsidRPr="00291CCB" w:rsidRDefault="00291CCB" w:rsidP="00291CCB">
      <w:pPr>
        <w:pStyle w:val="ListParagraph"/>
        <w:ind w:left="792" w:firstLine="0"/>
        <w:rPr>
          <w:sz w:val="24"/>
          <w:lang w:eastAsia="zh-CN"/>
        </w:rPr>
      </w:pPr>
    </w:p>
    <w:p w14:paraId="1CD05CD8" w14:textId="4A13932F" w:rsidR="00A86664" w:rsidRPr="00220A07" w:rsidRDefault="00A86664" w:rsidP="00D2791E">
      <w:pPr>
        <w:pStyle w:val="ListParagraph"/>
        <w:numPr>
          <w:ilvl w:val="2"/>
          <w:numId w:val="24"/>
        </w:numPr>
        <w:tabs>
          <w:tab w:val="left" w:pos="426"/>
        </w:tabs>
        <w:snapToGrid w:val="0"/>
        <w:spacing w:after="120"/>
        <w:ind w:hanging="294"/>
        <w:contextualSpacing w:val="0"/>
        <w:jc w:val="left"/>
        <w:rPr>
          <w:rFonts w:cs="Arial"/>
          <w:sz w:val="24"/>
        </w:rPr>
      </w:pPr>
      <w:r w:rsidRPr="00220A07">
        <w:rPr>
          <w:rFonts w:cs="Arial"/>
          <w:sz w:val="24"/>
        </w:rPr>
        <w:t xml:space="preserve">Receiving regular reports from </w:t>
      </w:r>
      <w:r w:rsidR="00FA77E7" w:rsidRPr="00220A07">
        <w:rPr>
          <w:rFonts w:cs="Arial"/>
          <w:sz w:val="24"/>
        </w:rPr>
        <w:t>the Senior Leadership Team</w:t>
      </w:r>
      <w:r w:rsidRPr="00220A07">
        <w:rPr>
          <w:rFonts w:cs="Arial"/>
          <w:sz w:val="24"/>
        </w:rPr>
        <w:t>, internal audit and others on the effectiveness of risk management arrangements.</w:t>
      </w:r>
    </w:p>
    <w:p w14:paraId="0086951A" w14:textId="6C023F53" w:rsidR="00A86664" w:rsidRPr="00220A07" w:rsidRDefault="00A86664" w:rsidP="00B2621A">
      <w:pPr>
        <w:pStyle w:val="ListParagraph"/>
        <w:numPr>
          <w:ilvl w:val="2"/>
          <w:numId w:val="24"/>
        </w:numPr>
        <w:tabs>
          <w:tab w:val="left" w:pos="426"/>
        </w:tabs>
        <w:snapToGrid w:val="0"/>
        <w:spacing w:after="120"/>
        <w:ind w:left="850" w:hanging="425"/>
        <w:contextualSpacing w:val="0"/>
        <w:jc w:val="left"/>
        <w:rPr>
          <w:rFonts w:cs="Arial"/>
          <w:sz w:val="24"/>
        </w:rPr>
      </w:pPr>
      <w:r w:rsidRPr="00220A07">
        <w:rPr>
          <w:rFonts w:cs="Arial"/>
          <w:sz w:val="24"/>
        </w:rPr>
        <w:t>Suppor</w:t>
      </w:r>
      <w:r w:rsidR="00116BA1" w:rsidRPr="00220A07">
        <w:rPr>
          <w:rFonts w:cs="Arial"/>
          <w:sz w:val="24"/>
        </w:rPr>
        <w:t xml:space="preserve">ting and challenging the Senior </w:t>
      </w:r>
      <w:r w:rsidR="00FA77E7" w:rsidRPr="00220A07">
        <w:rPr>
          <w:rFonts w:cs="Arial"/>
          <w:sz w:val="24"/>
        </w:rPr>
        <w:t xml:space="preserve">Leadership </w:t>
      </w:r>
      <w:r w:rsidR="00A0307B" w:rsidRPr="00220A07">
        <w:rPr>
          <w:rFonts w:cs="Arial"/>
          <w:sz w:val="24"/>
        </w:rPr>
        <w:t>Team</w:t>
      </w:r>
      <w:r w:rsidRPr="00220A07">
        <w:rPr>
          <w:rFonts w:cs="Arial"/>
          <w:sz w:val="24"/>
        </w:rPr>
        <w:t xml:space="preserve"> on how it manages risk across the University.</w:t>
      </w:r>
    </w:p>
    <w:p w14:paraId="4612B6A0" w14:textId="77777777" w:rsidR="00A86664" w:rsidRPr="00220A07" w:rsidRDefault="00A86664" w:rsidP="00B2621A">
      <w:pPr>
        <w:pStyle w:val="ListParagraph"/>
        <w:numPr>
          <w:ilvl w:val="2"/>
          <w:numId w:val="24"/>
        </w:numPr>
        <w:tabs>
          <w:tab w:val="left" w:pos="426"/>
        </w:tabs>
        <w:snapToGrid w:val="0"/>
        <w:spacing w:after="120"/>
        <w:ind w:left="850" w:hanging="425"/>
        <w:contextualSpacing w:val="0"/>
        <w:jc w:val="left"/>
        <w:rPr>
          <w:rFonts w:cs="Arial"/>
          <w:sz w:val="24"/>
        </w:rPr>
      </w:pPr>
      <w:r w:rsidRPr="00220A07">
        <w:rPr>
          <w:rFonts w:cs="Arial"/>
          <w:sz w:val="24"/>
        </w:rPr>
        <w:t>Monitoring the management of significant risks to reduce the likelihood of unwelcome surprises.</w:t>
      </w:r>
    </w:p>
    <w:p w14:paraId="56F4EA19" w14:textId="77777777" w:rsidR="00A86664" w:rsidRPr="00220A07" w:rsidRDefault="00A86664" w:rsidP="00B2621A">
      <w:pPr>
        <w:pStyle w:val="ListParagraph"/>
        <w:numPr>
          <w:ilvl w:val="2"/>
          <w:numId w:val="24"/>
        </w:numPr>
        <w:tabs>
          <w:tab w:val="left" w:pos="426"/>
        </w:tabs>
        <w:snapToGrid w:val="0"/>
        <w:spacing w:after="120"/>
        <w:ind w:left="850" w:hanging="425"/>
        <w:contextualSpacing w:val="0"/>
        <w:jc w:val="left"/>
        <w:rPr>
          <w:rFonts w:cs="Arial"/>
          <w:sz w:val="24"/>
        </w:rPr>
      </w:pPr>
      <w:r w:rsidRPr="00220A07">
        <w:rPr>
          <w:rFonts w:cs="Arial"/>
          <w:sz w:val="24"/>
        </w:rPr>
        <w:t>Satisfying itself that the less significant risks are being actively managed, with the appropriate controls in place and working effectively</w:t>
      </w:r>
    </w:p>
    <w:p w14:paraId="0CC59B73" w14:textId="2D443768" w:rsidR="00A86664" w:rsidRPr="00220A07" w:rsidRDefault="00A82EBC" w:rsidP="00B2621A">
      <w:pPr>
        <w:pStyle w:val="ListParagraph"/>
        <w:numPr>
          <w:ilvl w:val="2"/>
          <w:numId w:val="24"/>
        </w:numPr>
        <w:tabs>
          <w:tab w:val="left" w:pos="426"/>
        </w:tabs>
        <w:snapToGrid w:val="0"/>
        <w:spacing w:after="120"/>
        <w:ind w:left="850" w:hanging="425"/>
        <w:contextualSpacing w:val="0"/>
        <w:jc w:val="left"/>
        <w:rPr>
          <w:rFonts w:cs="Arial"/>
          <w:sz w:val="24"/>
        </w:rPr>
      </w:pPr>
      <w:r w:rsidRPr="00220A07">
        <w:rPr>
          <w:rFonts w:cs="Arial"/>
          <w:sz w:val="24"/>
        </w:rPr>
        <w:t xml:space="preserve">Reviewing changes to the Risk Management Policy and Process </w:t>
      </w:r>
      <w:r w:rsidR="00A86664" w:rsidRPr="00220A07">
        <w:rPr>
          <w:rFonts w:cs="Arial"/>
          <w:sz w:val="24"/>
        </w:rPr>
        <w:t>prior to their review and approval by the Board of Governors.</w:t>
      </w:r>
    </w:p>
    <w:p w14:paraId="2E6875A6" w14:textId="7490DAEE" w:rsidR="00CA5794" w:rsidRDefault="00CA5794" w:rsidP="00B2621A">
      <w:pPr>
        <w:pStyle w:val="ListParagraph"/>
        <w:numPr>
          <w:ilvl w:val="2"/>
          <w:numId w:val="24"/>
        </w:numPr>
        <w:tabs>
          <w:tab w:val="left" w:pos="426"/>
        </w:tabs>
        <w:snapToGrid w:val="0"/>
        <w:spacing w:after="120"/>
        <w:ind w:left="850" w:hanging="425"/>
        <w:contextualSpacing w:val="0"/>
        <w:jc w:val="left"/>
        <w:rPr>
          <w:rFonts w:cs="Arial"/>
          <w:sz w:val="24"/>
        </w:rPr>
      </w:pPr>
      <w:r w:rsidRPr="00220A07">
        <w:rPr>
          <w:rFonts w:cs="Arial"/>
          <w:sz w:val="24"/>
        </w:rPr>
        <w:t>Reviewing revisions to the University’s Statement of Risk Appetite recommended by the Senior Leadership Team.</w:t>
      </w:r>
    </w:p>
    <w:p w14:paraId="13E94081" w14:textId="3BD77D98" w:rsidR="00A86664" w:rsidRPr="00602C10" w:rsidRDefault="00A86664" w:rsidP="00602C10">
      <w:pPr>
        <w:pStyle w:val="ListParagraph"/>
        <w:numPr>
          <w:ilvl w:val="2"/>
          <w:numId w:val="24"/>
        </w:numPr>
        <w:tabs>
          <w:tab w:val="left" w:pos="426"/>
        </w:tabs>
        <w:snapToGrid w:val="0"/>
        <w:spacing w:after="120"/>
        <w:ind w:left="850" w:hanging="425"/>
        <w:contextualSpacing w:val="0"/>
        <w:jc w:val="left"/>
        <w:rPr>
          <w:rFonts w:cs="Arial"/>
          <w:sz w:val="24"/>
        </w:rPr>
      </w:pPr>
      <w:r w:rsidRPr="00EB28A9">
        <w:rPr>
          <w:rFonts w:cs="Arial"/>
          <w:sz w:val="24"/>
        </w:rPr>
        <w:t>Reporting annually to the Board on the adequacy and effectiveness of the arrangements for risk management</w:t>
      </w:r>
      <w:r w:rsidR="00002ED2" w:rsidRPr="00EB28A9">
        <w:rPr>
          <w:rFonts w:cs="Arial"/>
          <w:sz w:val="24"/>
        </w:rPr>
        <w:t xml:space="preserve"> as part of the Committee’s annual report</w:t>
      </w:r>
      <w:r w:rsidRPr="00EB28A9">
        <w:rPr>
          <w:rFonts w:cs="Arial"/>
          <w:sz w:val="24"/>
        </w:rPr>
        <w:t>.</w:t>
      </w:r>
    </w:p>
    <w:p w14:paraId="54FA0782" w14:textId="77777777" w:rsidR="009700E0" w:rsidRPr="002024D7" w:rsidRDefault="009700E0" w:rsidP="002024D7">
      <w:pPr>
        <w:ind w:left="777" w:firstLine="0"/>
      </w:pPr>
    </w:p>
    <w:p w14:paraId="7A48F8A3" w14:textId="77777777" w:rsidR="002024D7" w:rsidRDefault="002024D7" w:rsidP="002024D7">
      <w:pPr>
        <w:ind w:left="777" w:firstLine="0"/>
      </w:pPr>
    </w:p>
    <w:p w14:paraId="4F70EDDB" w14:textId="77777777" w:rsidR="00291CCB" w:rsidRDefault="00116BA1" w:rsidP="00291CCB">
      <w:pPr>
        <w:pStyle w:val="Heading1"/>
        <w:numPr>
          <w:ilvl w:val="0"/>
          <w:numId w:val="23"/>
        </w:numPr>
      </w:pPr>
      <w:r w:rsidRPr="002024D7">
        <w:lastRenderedPageBreak/>
        <w:t xml:space="preserve">Role of the Senior </w:t>
      </w:r>
      <w:r w:rsidR="00FE2686" w:rsidRPr="002024D7">
        <w:t>Leadership</w:t>
      </w:r>
      <w:r w:rsidR="00261CD5" w:rsidRPr="002024D7">
        <w:t xml:space="preserve"> </w:t>
      </w:r>
      <w:r w:rsidR="00612E3D" w:rsidRPr="002024D7">
        <w:t>Team</w:t>
      </w:r>
    </w:p>
    <w:p w14:paraId="4EABD3A1" w14:textId="5F2731D7" w:rsidR="00A86664" w:rsidRDefault="00116BA1" w:rsidP="00291CCB">
      <w:pPr>
        <w:pStyle w:val="ListParagraph"/>
        <w:numPr>
          <w:ilvl w:val="1"/>
          <w:numId w:val="23"/>
        </w:numPr>
        <w:rPr>
          <w:sz w:val="24"/>
        </w:rPr>
      </w:pPr>
      <w:r w:rsidRPr="00291CCB">
        <w:rPr>
          <w:sz w:val="24"/>
        </w:rPr>
        <w:t xml:space="preserve">Key roles of the Senior </w:t>
      </w:r>
      <w:r w:rsidR="00FE2686" w:rsidRPr="00291CCB">
        <w:rPr>
          <w:sz w:val="24"/>
        </w:rPr>
        <w:t xml:space="preserve">Leadership </w:t>
      </w:r>
      <w:r w:rsidR="00612E3D" w:rsidRPr="00291CCB">
        <w:rPr>
          <w:sz w:val="24"/>
        </w:rPr>
        <w:t>Team</w:t>
      </w:r>
      <w:r w:rsidR="00A86664" w:rsidRPr="00291CCB">
        <w:rPr>
          <w:sz w:val="24"/>
        </w:rPr>
        <w:t xml:space="preserve"> </w:t>
      </w:r>
      <w:r w:rsidR="00261CD5" w:rsidRPr="00291CCB">
        <w:rPr>
          <w:sz w:val="24"/>
        </w:rPr>
        <w:t xml:space="preserve">(SLT) </w:t>
      </w:r>
      <w:r w:rsidR="00A86664" w:rsidRPr="00291CCB">
        <w:rPr>
          <w:sz w:val="24"/>
        </w:rPr>
        <w:t>are to:</w:t>
      </w:r>
    </w:p>
    <w:p w14:paraId="60A3EF7E" w14:textId="77777777" w:rsidR="00291CCB" w:rsidRPr="00291CCB" w:rsidRDefault="00291CCB" w:rsidP="00291CCB">
      <w:pPr>
        <w:pStyle w:val="ListParagraph"/>
      </w:pPr>
    </w:p>
    <w:p w14:paraId="30E2A107" w14:textId="77777777" w:rsidR="00A86664" w:rsidRPr="00220A07" w:rsidRDefault="00A86664" w:rsidP="00D2791E">
      <w:pPr>
        <w:pStyle w:val="ListParagraph"/>
        <w:numPr>
          <w:ilvl w:val="2"/>
          <w:numId w:val="25"/>
        </w:numPr>
        <w:tabs>
          <w:tab w:val="left" w:pos="851"/>
        </w:tabs>
        <w:snapToGrid w:val="0"/>
        <w:spacing w:after="120"/>
        <w:ind w:left="851" w:hanging="425"/>
        <w:contextualSpacing w:val="0"/>
        <w:jc w:val="left"/>
        <w:rPr>
          <w:rFonts w:cs="Arial"/>
          <w:sz w:val="24"/>
        </w:rPr>
      </w:pPr>
      <w:r w:rsidRPr="00220A07">
        <w:rPr>
          <w:rFonts w:cs="Arial"/>
          <w:sz w:val="24"/>
        </w:rPr>
        <w:t>Take the lead in developing and implementing effective policies and processes on risk management and control.</w:t>
      </w:r>
    </w:p>
    <w:p w14:paraId="014865B5" w14:textId="1FFEEC87" w:rsidR="00A0307B" w:rsidRPr="00220A07" w:rsidRDefault="00FE2686" w:rsidP="00B2621A">
      <w:pPr>
        <w:pStyle w:val="ListParagraph"/>
        <w:numPr>
          <w:ilvl w:val="2"/>
          <w:numId w:val="25"/>
        </w:numPr>
        <w:tabs>
          <w:tab w:val="left" w:pos="426"/>
        </w:tabs>
        <w:snapToGrid w:val="0"/>
        <w:spacing w:after="120"/>
        <w:ind w:left="850" w:hanging="425"/>
        <w:contextualSpacing w:val="0"/>
        <w:jc w:val="left"/>
        <w:rPr>
          <w:rFonts w:cs="Arial"/>
          <w:sz w:val="24"/>
        </w:rPr>
      </w:pPr>
      <w:r w:rsidRPr="00220A07">
        <w:rPr>
          <w:rFonts w:cs="Arial"/>
          <w:sz w:val="24"/>
        </w:rPr>
        <w:t>Annually review the University’s Statement of Risk Appetite.</w:t>
      </w:r>
    </w:p>
    <w:p w14:paraId="51729443" w14:textId="65448F4D" w:rsidR="00CB49D8" w:rsidRPr="00220A07" w:rsidRDefault="002661B2" w:rsidP="00B2621A">
      <w:pPr>
        <w:pStyle w:val="ListParagraph"/>
        <w:numPr>
          <w:ilvl w:val="2"/>
          <w:numId w:val="25"/>
        </w:numPr>
        <w:tabs>
          <w:tab w:val="left" w:pos="426"/>
        </w:tabs>
        <w:snapToGrid w:val="0"/>
        <w:spacing w:after="120"/>
        <w:ind w:left="850" w:hanging="425"/>
        <w:contextualSpacing w:val="0"/>
        <w:jc w:val="left"/>
        <w:rPr>
          <w:rFonts w:cs="Arial"/>
          <w:sz w:val="24"/>
        </w:rPr>
      </w:pPr>
      <w:r w:rsidRPr="00220A07">
        <w:rPr>
          <w:rFonts w:cs="Arial"/>
          <w:sz w:val="24"/>
        </w:rPr>
        <w:t>Regularly i</w:t>
      </w:r>
      <w:r w:rsidR="00A0307B" w:rsidRPr="00220A07">
        <w:rPr>
          <w:rFonts w:cs="Arial"/>
          <w:sz w:val="24"/>
        </w:rPr>
        <w:t>dentify</w:t>
      </w:r>
      <w:r w:rsidR="00A86664" w:rsidRPr="00220A07">
        <w:rPr>
          <w:rFonts w:cs="Arial"/>
          <w:sz w:val="24"/>
        </w:rPr>
        <w:t xml:space="preserve"> and evaluate risks associated with the Strategic Plan and provide assurance and reports for consideration by the Audit</w:t>
      </w:r>
      <w:r w:rsidR="00EB28A9">
        <w:rPr>
          <w:rFonts w:cs="Arial"/>
          <w:sz w:val="24"/>
        </w:rPr>
        <w:t xml:space="preserve"> and Risk</w:t>
      </w:r>
      <w:r w:rsidR="00A86664" w:rsidRPr="00220A07">
        <w:rPr>
          <w:rFonts w:cs="Arial"/>
          <w:sz w:val="24"/>
        </w:rPr>
        <w:t xml:space="preserve"> Committee and Board of Governors.</w:t>
      </w:r>
    </w:p>
    <w:p w14:paraId="3C219746" w14:textId="72ABCB0E" w:rsidR="00CA5794" w:rsidRPr="00220A07" w:rsidRDefault="00CA5794" w:rsidP="00B2621A">
      <w:pPr>
        <w:pStyle w:val="ListParagraph"/>
        <w:numPr>
          <w:ilvl w:val="2"/>
          <w:numId w:val="25"/>
        </w:numPr>
        <w:tabs>
          <w:tab w:val="left" w:pos="426"/>
        </w:tabs>
        <w:snapToGrid w:val="0"/>
        <w:spacing w:after="120"/>
        <w:ind w:left="850" w:hanging="425"/>
        <w:contextualSpacing w:val="0"/>
        <w:jc w:val="left"/>
        <w:rPr>
          <w:rFonts w:cs="Arial"/>
          <w:sz w:val="24"/>
        </w:rPr>
      </w:pPr>
      <w:r w:rsidRPr="00220A07">
        <w:rPr>
          <w:rFonts w:cs="Arial"/>
          <w:sz w:val="24"/>
        </w:rPr>
        <w:t xml:space="preserve">Regularly review (at least quarterly) the Corporate Risk Register and associated risk management report. </w:t>
      </w:r>
    </w:p>
    <w:p w14:paraId="33AEC16F" w14:textId="77777777" w:rsidR="00A86664" w:rsidRPr="00220A07" w:rsidRDefault="00A0307B" w:rsidP="00B2621A">
      <w:pPr>
        <w:pStyle w:val="ListParagraph"/>
        <w:numPr>
          <w:ilvl w:val="2"/>
          <w:numId w:val="25"/>
        </w:numPr>
        <w:tabs>
          <w:tab w:val="left" w:pos="426"/>
        </w:tabs>
        <w:snapToGrid w:val="0"/>
        <w:spacing w:after="120"/>
        <w:ind w:left="850" w:hanging="425"/>
        <w:contextualSpacing w:val="0"/>
        <w:jc w:val="left"/>
        <w:rPr>
          <w:rFonts w:cs="Arial"/>
          <w:sz w:val="24"/>
        </w:rPr>
      </w:pPr>
      <w:r w:rsidRPr="00220A07">
        <w:rPr>
          <w:rFonts w:cs="Arial"/>
          <w:sz w:val="24"/>
        </w:rPr>
        <w:t xml:space="preserve">Identify </w:t>
      </w:r>
      <w:r w:rsidR="00CB49D8" w:rsidRPr="00220A07">
        <w:rPr>
          <w:rFonts w:cs="Arial"/>
          <w:sz w:val="24"/>
        </w:rPr>
        <w:t xml:space="preserve">emerging risks during the year, making an assessment and identifying appropriate actions </w:t>
      </w:r>
      <w:r w:rsidR="00F25C42" w:rsidRPr="00220A07">
        <w:rPr>
          <w:rFonts w:cs="Arial"/>
          <w:sz w:val="24"/>
        </w:rPr>
        <w:t xml:space="preserve">and providing reports </w:t>
      </w:r>
      <w:r w:rsidR="00CB49D8" w:rsidRPr="00220A07">
        <w:rPr>
          <w:rFonts w:cs="Arial"/>
          <w:sz w:val="24"/>
        </w:rPr>
        <w:t>as required.</w:t>
      </w:r>
    </w:p>
    <w:p w14:paraId="523F7E43" w14:textId="77777777" w:rsidR="00A86664" w:rsidRPr="00220A07" w:rsidRDefault="00A86664" w:rsidP="00B2621A">
      <w:pPr>
        <w:pStyle w:val="ListParagraph"/>
        <w:numPr>
          <w:ilvl w:val="2"/>
          <w:numId w:val="25"/>
        </w:numPr>
        <w:tabs>
          <w:tab w:val="left" w:pos="426"/>
        </w:tabs>
        <w:snapToGrid w:val="0"/>
        <w:spacing w:after="120"/>
        <w:ind w:left="850" w:hanging="425"/>
        <w:contextualSpacing w:val="0"/>
        <w:jc w:val="left"/>
        <w:rPr>
          <w:rFonts w:cs="Arial"/>
          <w:color w:val="000000" w:themeColor="text1"/>
          <w:sz w:val="24"/>
        </w:rPr>
      </w:pPr>
      <w:r w:rsidRPr="00220A07">
        <w:rPr>
          <w:rFonts w:cs="Arial"/>
          <w:color w:val="000000" w:themeColor="text1"/>
          <w:sz w:val="24"/>
        </w:rPr>
        <w:t>Provide adequate information in a timely manner to the Board of Governors and its committees on the status of risks and controls.</w:t>
      </w:r>
    </w:p>
    <w:p w14:paraId="4566FFBF" w14:textId="1DC1BE1B" w:rsidR="00CA6D98" w:rsidRPr="00220A07" w:rsidRDefault="001E303B" w:rsidP="00B2621A">
      <w:pPr>
        <w:pStyle w:val="ListParagraph"/>
        <w:numPr>
          <w:ilvl w:val="2"/>
          <w:numId w:val="25"/>
        </w:numPr>
        <w:tabs>
          <w:tab w:val="left" w:pos="426"/>
        </w:tabs>
        <w:snapToGrid w:val="0"/>
        <w:spacing w:after="120"/>
        <w:ind w:left="850" w:hanging="425"/>
        <w:contextualSpacing w:val="0"/>
        <w:jc w:val="left"/>
        <w:rPr>
          <w:rFonts w:cs="Arial"/>
          <w:color w:val="000000" w:themeColor="text1"/>
          <w:sz w:val="24"/>
        </w:rPr>
      </w:pPr>
      <w:r w:rsidRPr="00220A07">
        <w:rPr>
          <w:rFonts w:cs="Arial"/>
          <w:color w:val="000000" w:themeColor="text1"/>
          <w:sz w:val="24"/>
        </w:rPr>
        <w:t xml:space="preserve">The University is committed to providing appropriate levels of training and </w:t>
      </w:r>
      <w:r w:rsidR="00B52402" w:rsidRPr="00220A07">
        <w:rPr>
          <w:rFonts w:cs="Arial"/>
          <w:color w:val="000000" w:themeColor="text1"/>
          <w:sz w:val="24"/>
        </w:rPr>
        <w:t xml:space="preserve">guidance to support this policy. </w:t>
      </w:r>
      <w:r w:rsidR="00A86664" w:rsidRPr="00220A07">
        <w:rPr>
          <w:rFonts w:cs="Arial"/>
          <w:color w:val="000000" w:themeColor="text1"/>
          <w:sz w:val="24"/>
        </w:rPr>
        <w:t xml:space="preserve">The </w:t>
      </w:r>
      <w:r w:rsidR="00DB11B8" w:rsidRPr="00220A07">
        <w:rPr>
          <w:rFonts w:cs="Arial"/>
          <w:color w:val="000000" w:themeColor="text1"/>
          <w:sz w:val="24"/>
        </w:rPr>
        <w:t xml:space="preserve">Chief </w:t>
      </w:r>
      <w:r w:rsidR="00505973" w:rsidRPr="00220A07">
        <w:rPr>
          <w:rFonts w:cs="Arial"/>
          <w:color w:val="000000" w:themeColor="text1"/>
          <w:sz w:val="24"/>
        </w:rPr>
        <w:t xml:space="preserve">Operating </w:t>
      </w:r>
      <w:r w:rsidR="00DB11B8" w:rsidRPr="00220A07">
        <w:rPr>
          <w:rFonts w:cs="Arial"/>
          <w:color w:val="000000" w:themeColor="text1"/>
          <w:sz w:val="24"/>
        </w:rPr>
        <w:t>Officer</w:t>
      </w:r>
      <w:r w:rsidR="00A86664" w:rsidRPr="00220A07">
        <w:rPr>
          <w:rFonts w:cs="Arial"/>
          <w:color w:val="000000" w:themeColor="text1"/>
          <w:sz w:val="24"/>
        </w:rPr>
        <w:t xml:space="preserve"> </w:t>
      </w:r>
      <w:r w:rsidR="00261CD5" w:rsidRPr="00220A07">
        <w:rPr>
          <w:rFonts w:cs="Arial"/>
          <w:color w:val="000000" w:themeColor="text1"/>
          <w:sz w:val="24"/>
        </w:rPr>
        <w:t>is the member of the SLT with</w:t>
      </w:r>
      <w:r w:rsidR="00A86664" w:rsidRPr="00220A07">
        <w:rPr>
          <w:rFonts w:cs="Arial"/>
          <w:color w:val="000000" w:themeColor="text1"/>
          <w:sz w:val="24"/>
        </w:rPr>
        <w:t xml:space="preserve"> responsibility for the co-ordination of risk management arrangemen</w:t>
      </w:r>
      <w:r w:rsidR="00261CD5" w:rsidRPr="00220A07">
        <w:rPr>
          <w:rFonts w:cs="Arial"/>
          <w:color w:val="000000" w:themeColor="text1"/>
          <w:sz w:val="24"/>
        </w:rPr>
        <w:t>ts across the University and advising</w:t>
      </w:r>
      <w:r w:rsidR="00A86664" w:rsidRPr="00220A07">
        <w:rPr>
          <w:rFonts w:cs="Arial"/>
          <w:color w:val="000000" w:themeColor="text1"/>
          <w:sz w:val="24"/>
        </w:rPr>
        <w:t xml:space="preserve"> the Board, </w:t>
      </w:r>
      <w:r w:rsidR="00116BA1" w:rsidRPr="00220A07">
        <w:rPr>
          <w:rFonts w:cs="Arial"/>
          <w:color w:val="000000" w:themeColor="text1"/>
          <w:sz w:val="24"/>
        </w:rPr>
        <w:t xml:space="preserve">Audit </w:t>
      </w:r>
      <w:r w:rsidR="00EB28A9">
        <w:rPr>
          <w:rFonts w:cs="Arial"/>
          <w:color w:val="000000" w:themeColor="text1"/>
          <w:sz w:val="24"/>
        </w:rPr>
        <w:t xml:space="preserve">and Risk </w:t>
      </w:r>
      <w:r w:rsidR="00116BA1" w:rsidRPr="00220A07">
        <w:rPr>
          <w:rFonts w:cs="Arial"/>
          <w:color w:val="000000" w:themeColor="text1"/>
          <w:sz w:val="24"/>
        </w:rPr>
        <w:t xml:space="preserve">Committee, </w:t>
      </w:r>
      <w:r w:rsidR="00261CD5" w:rsidRPr="00220A07">
        <w:rPr>
          <w:rFonts w:cs="Arial"/>
          <w:color w:val="000000" w:themeColor="text1"/>
          <w:sz w:val="24"/>
        </w:rPr>
        <w:t xml:space="preserve">the </w:t>
      </w:r>
      <w:r w:rsidR="00116BA1" w:rsidRPr="00220A07">
        <w:rPr>
          <w:rFonts w:cs="Arial"/>
          <w:color w:val="000000" w:themeColor="text1"/>
          <w:sz w:val="24"/>
        </w:rPr>
        <w:t xml:space="preserve">Senior </w:t>
      </w:r>
      <w:r w:rsidR="002661B2" w:rsidRPr="00220A07">
        <w:rPr>
          <w:rFonts w:cs="Arial"/>
          <w:color w:val="000000" w:themeColor="text1"/>
          <w:sz w:val="24"/>
        </w:rPr>
        <w:t xml:space="preserve">Leadership </w:t>
      </w:r>
      <w:r w:rsidR="00A0307B" w:rsidRPr="00220A07">
        <w:rPr>
          <w:rFonts w:cs="Arial"/>
          <w:color w:val="000000" w:themeColor="text1"/>
          <w:sz w:val="24"/>
        </w:rPr>
        <w:t xml:space="preserve">Team and Vice </w:t>
      </w:r>
      <w:r w:rsidR="00A86664" w:rsidRPr="00220A07">
        <w:rPr>
          <w:rFonts w:cs="Arial"/>
          <w:color w:val="000000" w:themeColor="text1"/>
          <w:sz w:val="24"/>
        </w:rPr>
        <w:t>Chancellor on all risk management issues.</w:t>
      </w:r>
      <w:r w:rsidR="00505973" w:rsidRPr="00220A07">
        <w:rPr>
          <w:rFonts w:cs="Arial"/>
          <w:color w:val="000000" w:themeColor="text1"/>
          <w:sz w:val="24"/>
        </w:rPr>
        <w:t xml:space="preserve"> </w:t>
      </w:r>
    </w:p>
    <w:p w14:paraId="68DBC05B" w14:textId="18AC2FC7" w:rsidR="00A86664" w:rsidRPr="00220A07" w:rsidRDefault="00CA6D98" w:rsidP="00B2621A">
      <w:pPr>
        <w:pStyle w:val="ListParagraph"/>
        <w:numPr>
          <w:ilvl w:val="2"/>
          <w:numId w:val="25"/>
        </w:numPr>
        <w:tabs>
          <w:tab w:val="left" w:pos="426"/>
        </w:tabs>
        <w:snapToGrid w:val="0"/>
        <w:spacing w:after="120"/>
        <w:ind w:left="850" w:hanging="425"/>
        <w:contextualSpacing w:val="0"/>
        <w:jc w:val="left"/>
        <w:rPr>
          <w:rFonts w:cs="Arial"/>
          <w:color w:val="000000" w:themeColor="text1"/>
          <w:sz w:val="24"/>
        </w:rPr>
      </w:pPr>
      <w:r w:rsidRPr="00220A07">
        <w:rPr>
          <w:rFonts w:cs="Arial"/>
          <w:color w:val="000000" w:themeColor="text1"/>
          <w:sz w:val="24"/>
        </w:rPr>
        <w:t>Training: i</w:t>
      </w:r>
      <w:r w:rsidR="00505973" w:rsidRPr="00220A07">
        <w:rPr>
          <w:rFonts w:cs="Arial"/>
          <w:color w:val="000000" w:themeColor="text1"/>
          <w:sz w:val="24"/>
        </w:rPr>
        <w:t xml:space="preserve">n their role as risk management lead the Chief Operating Officer is responsible for ensuring </w:t>
      </w:r>
      <w:r w:rsidR="001E303B" w:rsidRPr="00220A07">
        <w:rPr>
          <w:rFonts w:cs="Arial"/>
          <w:color w:val="000000" w:themeColor="text1"/>
          <w:sz w:val="24"/>
        </w:rPr>
        <w:t xml:space="preserve">that </w:t>
      </w:r>
      <w:r w:rsidR="00505973" w:rsidRPr="00220A07">
        <w:rPr>
          <w:rFonts w:cs="Arial"/>
          <w:color w:val="000000" w:themeColor="text1"/>
          <w:sz w:val="24"/>
        </w:rPr>
        <w:t xml:space="preserve">all </w:t>
      </w:r>
      <w:r w:rsidR="001E303B" w:rsidRPr="00220A07">
        <w:rPr>
          <w:rFonts w:cs="Arial"/>
          <w:color w:val="000000" w:themeColor="text1"/>
          <w:sz w:val="24"/>
        </w:rPr>
        <w:t xml:space="preserve">relevant </w:t>
      </w:r>
      <w:r w:rsidR="00505973" w:rsidRPr="00220A07">
        <w:rPr>
          <w:rFonts w:cs="Arial"/>
          <w:color w:val="000000" w:themeColor="text1"/>
          <w:sz w:val="24"/>
        </w:rPr>
        <w:t>staff are appropriately inducted and trained. Upon appointment to the Risk Champions Working Group training will be delivered to new members by the Risk Champions’ training lead (to be identified by the working group annually). Induction training will include:</w:t>
      </w:r>
    </w:p>
    <w:p w14:paraId="24A5D833" w14:textId="354FC469" w:rsidR="00505973" w:rsidRPr="00220A07" w:rsidRDefault="00505973" w:rsidP="00B2621A">
      <w:pPr>
        <w:pStyle w:val="ListParagraph"/>
        <w:numPr>
          <w:ilvl w:val="0"/>
          <w:numId w:val="18"/>
        </w:numPr>
        <w:tabs>
          <w:tab w:val="left" w:pos="426"/>
        </w:tabs>
        <w:snapToGrid w:val="0"/>
        <w:spacing w:after="120"/>
        <w:contextualSpacing w:val="0"/>
        <w:jc w:val="left"/>
        <w:rPr>
          <w:rFonts w:cs="Arial"/>
          <w:color w:val="000000" w:themeColor="text1"/>
          <w:sz w:val="24"/>
        </w:rPr>
      </w:pPr>
      <w:r w:rsidRPr="00220A07">
        <w:rPr>
          <w:rFonts w:cs="Arial"/>
          <w:color w:val="000000" w:themeColor="text1"/>
          <w:sz w:val="24"/>
        </w:rPr>
        <w:t>Risk Management policy</w:t>
      </w:r>
      <w:r w:rsidR="00CA6D98" w:rsidRPr="00220A07">
        <w:rPr>
          <w:rFonts w:cs="Arial"/>
          <w:color w:val="000000" w:themeColor="text1"/>
          <w:sz w:val="24"/>
        </w:rPr>
        <w:t xml:space="preserve"> including the </w:t>
      </w:r>
      <w:r w:rsidRPr="00220A07">
        <w:rPr>
          <w:rFonts w:cs="Arial"/>
          <w:color w:val="000000" w:themeColor="text1"/>
          <w:sz w:val="24"/>
        </w:rPr>
        <w:t>Statement of Risk Appetite</w:t>
      </w:r>
    </w:p>
    <w:p w14:paraId="79A6DA76" w14:textId="038BEBE3" w:rsidR="00505973" w:rsidRPr="00220A07" w:rsidRDefault="00505973" w:rsidP="00B2621A">
      <w:pPr>
        <w:pStyle w:val="ListParagraph"/>
        <w:numPr>
          <w:ilvl w:val="0"/>
          <w:numId w:val="18"/>
        </w:numPr>
        <w:tabs>
          <w:tab w:val="left" w:pos="426"/>
        </w:tabs>
        <w:snapToGrid w:val="0"/>
        <w:spacing w:after="120"/>
        <w:contextualSpacing w:val="0"/>
        <w:jc w:val="left"/>
        <w:rPr>
          <w:rFonts w:cs="Arial"/>
          <w:color w:val="000000" w:themeColor="text1"/>
          <w:sz w:val="24"/>
        </w:rPr>
      </w:pPr>
      <w:r w:rsidRPr="00220A07">
        <w:rPr>
          <w:rFonts w:cs="Arial"/>
          <w:color w:val="000000" w:themeColor="text1"/>
          <w:sz w:val="24"/>
        </w:rPr>
        <w:t>The University’s approach to risk management</w:t>
      </w:r>
    </w:p>
    <w:p w14:paraId="29E50509" w14:textId="4E41B2F9" w:rsidR="00505973" w:rsidRPr="00220A07" w:rsidRDefault="00505973" w:rsidP="00B2621A">
      <w:pPr>
        <w:pStyle w:val="ListParagraph"/>
        <w:numPr>
          <w:ilvl w:val="0"/>
          <w:numId w:val="18"/>
        </w:numPr>
        <w:tabs>
          <w:tab w:val="left" w:pos="426"/>
        </w:tabs>
        <w:snapToGrid w:val="0"/>
        <w:spacing w:after="120"/>
        <w:contextualSpacing w:val="0"/>
        <w:jc w:val="left"/>
        <w:rPr>
          <w:rFonts w:cs="Arial"/>
          <w:color w:val="000000" w:themeColor="text1"/>
          <w:sz w:val="24"/>
        </w:rPr>
      </w:pPr>
      <w:r w:rsidRPr="00220A07">
        <w:rPr>
          <w:rFonts w:cs="Arial"/>
          <w:color w:val="000000" w:themeColor="text1"/>
          <w:sz w:val="24"/>
        </w:rPr>
        <w:t>Roles and Responsibilities</w:t>
      </w:r>
    </w:p>
    <w:p w14:paraId="497BE7B4" w14:textId="7D689B4B" w:rsidR="00505973" w:rsidRPr="00220A07" w:rsidRDefault="00505973" w:rsidP="00B2621A">
      <w:pPr>
        <w:pStyle w:val="ListParagraph"/>
        <w:numPr>
          <w:ilvl w:val="0"/>
          <w:numId w:val="18"/>
        </w:numPr>
        <w:tabs>
          <w:tab w:val="left" w:pos="426"/>
        </w:tabs>
        <w:snapToGrid w:val="0"/>
        <w:spacing w:after="120"/>
        <w:contextualSpacing w:val="0"/>
        <w:jc w:val="left"/>
        <w:rPr>
          <w:rFonts w:cs="Arial"/>
          <w:color w:val="000000" w:themeColor="text1"/>
          <w:sz w:val="24"/>
        </w:rPr>
      </w:pPr>
      <w:r w:rsidRPr="00220A07">
        <w:rPr>
          <w:rFonts w:cs="Arial"/>
          <w:color w:val="000000" w:themeColor="text1"/>
          <w:sz w:val="24"/>
        </w:rPr>
        <w:t>Role and Purpose of the Risk Champions’ Working Group</w:t>
      </w:r>
    </w:p>
    <w:p w14:paraId="311A7572" w14:textId="5A8FC5CF" w:rsidR="00505973" w:rsidRPr="00220A07" w:rsidRDefault="00505973" w:rsidP="00B2621A">
      <w:pPr>
        <w:pStyle w:val="ListParagraph"/>
        <w:numPr>
          <w:ilvl w:val="0"/>
          <w:numId w:val="18"/>
        </w:numPr>
        <w:tabs>
          <w:tab w:val="left" w:pos="426"/>
        </w:tabs>
        <w:snapToGrid w:val="0"/>
        <w:spacing w:after="120"/>
        <w:contextualSpacing w:val="0"/>
        <w:jc w:val="left"/>
        <w:rPr>
          <w:rFonts w:cs="Arial"/>
          <w:color w:val="000000" w:themeColor="text1"/>
          <w:sz w:val="24"/>
        </w:rPr>
      </w:pPr>
      <w:r w:rsidRPr="00220A07">
        <w:rPr>
          <w:rFonts w:cs="Arial"/>
          <w:color w:val="000000" w:themeColor="text1"/>
          <w:sz w:val="24"/>
        </w:rPr>
        <w:t xml:space="preserve">Provision of and guidance on the use of the template including worked examples, </w:t>
      </w:r>
      <w:proofErr w:type="gramStart"/>
      <w:r w:rsidRPr="00220A07">
        <w:rPr>
          <w:rFonts w:cs="Arial"/>
          <w:color w:val="000000" w:themeColor="text1"/>
          <w:sz w:val="24"/>
        </w:rPr>
        <w:t>and;</w:t>
      </w:r>
      <w:proofErr w:type="gramEnd"/>
    </w:p>
    <w:p w14:paraId="2B87DD02" w14:textId="0DF65395" w:rsidR="00505973" w:rsidRPr="00220A07" w:rsidRDefault="00505973" w:rsidP="00B2621A">
      <w:pPr>
        <w:pStyle w:val="ListParagraph"/>
        <w:numPr>
          <w:ilvl w:val="0"/>
          <w:numId w:val="18"/>
        </w:numPr>
        <w:tabs>
          <w:tab w:val="left" w:pos="426"/>
        </w:tabs>
        <w:snapToGrid w:val="0"/>
        <w:spacing w:after="120"/>
        <w:contextualSpacing w:val="0"/>
        <w:jc w:val="left"/>
        <w:rPr>
          <w:rFonts w:cs="Arial"/>
          <w:color w:val="000000" w:themeColor="text1"/>
          <w:sz w:val="24"/>
        </w:rPr>
      </w:pPr>
      <w:r w:rsidRPr="00220A07">
        <w:rPr>
          <w:rFonts w:cs="Arial"/>
          <w:color w:val="000000" w:themeColor="text1"/>
          <w:sz w:val="24"/>
        </w:rPr>
        <w:t>Reporting</w:t>
      </w:r>
    </w:p>
    <w:p w14:paraId="3DF13C18" w14:textId="2D9B9F7C" w:rsidR="00F33989" w:rsidRPr="00220A07" w:rsidRDefault="00F33989" w:rsidP="00F33989">
      <w:pPr>
        <w:tabs>
          <w:tab w:val="left" w:pos="426"/>
        </w:tabs>
        <w:snapToGrid w:val="0"/>
        <w:spacing w:after="120"/>
        <w:ind w:left="850" w:firstLine="0"/>
        <w:jc w:val="left"/>
        <w:rPr>
          <w:rFonts w:cs="Arial"/>
          <w:color w:val="000000" w:themeColor="text1"/>
          <w:sz w:val="24"/>
        </w:rPr>
      </w:pPr>
      <w:r w:rsidRPr="00220A07">
        <w:rPr>
          <w:rFonts w:cs="Arial"/>
          <w:color w:val="000000" w:themeColor="text1"/>
          <w:sz w:val="24"/>
        </w:rPr>
        <w:t>Traini</w:t>
      </w:r>
      <w:r w:rsidR="00A013FB" w:rsidRPr="00220A07">
        <w:rPr>
          <w:rFonts w:cs="Arial"/>
          <w:color w:val="000000" w:themeColor="text1"/>
          <w:sz w:val="24"/>
        </w:rPr>
        <w:t xml:space="preserve">ng for SLT will be delivered </w:t>
      </w:r>
      <w:r w:rsidRPr="00220A07">
        <w:rPr>
          <w:rFonts w:cs="Arial"/>
          <w:color w:val="000000" w:themeColor="text1"/>
          <w:sz w:val="24"/>
        </w:rPr>
        <w:t xml:space="preserve">by the Chief Operating Officer (COO) </w:t>
      </w:r>
      <w:r w:rsidR="001E303B" w:rsidRPr="00220A07">
        <w:rPr>
          <w:rFonts w:cs="Arial"/>
          <w:color w:val="000000" w:themeColor="text1"/>
          <w:sz w:val="24"/>
        </w:rPr>
        <w:t xml:space="preserve">to </w:t>
      </w:r>
      <w:r w:rsidRPr="00220A07">
        <w:rPr>
          <w:rFonts w:cs="Arial"/>
          <w:color w:val="000000" w:themeColor="text1"/>
          <w:sz w:val="24"/>
        </w:rPr>
        <w:t>SLT as part of the quarterly review of the Corporate Risk Register</w:t>
      </w:r>
      <w:r w:rsidR="00B52402" w:rsidRPr="00220A07">
        <w:rPr>
          <w:rFonts w:cs="Arial"/>
          <w:color w:val="000000" w:themeColor="text1"/>
          <w:sz w:val="24"/>
        </w:rPr>
        <w:t xml:space="preserve">. </w:t>
      </w:r>
      <w:r w:rsidRPr="00220A07">
        <w:rPr>
          <w:rFonts w:cs="Arial"/>
          <w:color w:val="000000" w:themeColor="text1"/>
          <w:sz w:val="24"/>
        </w:rPr>
        <w:t>The COO will</w:t>
      </w:r>
      <w:r w:rsidR="00A013FB" w:rsidRPr="00220A07">
        <w:rPr>
          <w:rFonts w:cs="Arial"/>
          <w:color w:val="000000" w:themeColor="text1"/>
          <w:sz w:val="24"/>
        </w:rPr>
        <w:t xml:space="preserve"> identify any specific training needs and</w:t>
      </w:r>
      <w:r w:rsidRPr="00220A07">
        <w:rPr>
          <w:rFonts w:cs="Arial"/>
          <w:color w:val="000000" w:themeColor="text1"/>
          <w:sz w:val="24"/>
        </w:rPr>
        <w:t xml:space="preserve"> </w:t>
      </w:r>
      <w:r w:rsidR="00A013FB" w:rsidRPr="00220A07">
        <w:rPr>
          <w:rFonts w:cs="Arial"/>
          <w:color w:val="000000" w:themeColor="text1"/>
          <w:sz w:val="24"/>
        </w:rPr>
        <w:t xml:space="preserve">liaise with the Centre for Professional and Educational Development (CPED) as appropriate. </w:t>
      </w:r>
    </w:p>
    <w:p w14:paraId="516F521A" w14:textId="16FEF785" w:rsidR="00A86664" w:rsidRDefault="00A86664" w:rsidP="00B2621A">
      <w:pPr>
        <w:pStyle w:val="Heading1"/>
        <w:numPr>
          <w:ilvl w:val="0"/>
          <w:numId w:val="23"/>
        </w:numPr>
      </w:pPr>
      <w:r w:rsidRPr="002024D7">
        <w:lastRenderedPageBreak/>
        <w:t xml:space="preserve">Role of the Risk Champions </w:t>
      </w:r>
      <w:r w:rsidR="00CB49D8" w:rsidRPr="002024D7">
        <w:t xml:space="preserve">Working </w:t>
      </w:r>
      <w:r w:rsidR="00A0307B" w:rsidRPr="002024D7">
        <w:t>Group</w:t>
      </w:r>
    </w:p>
    <w:p w14:paraId="4E6A755E" w14:textId="77777777" w:rsidR="009700E0" w:rsidRPr="009700E0" w:rsidRDefault="009700E0" w:rsidP="009700E0">
      <w:pPr>
        <w:rPr>
          <w:lang w:eastAsia="zh-CN"/>
        </w:rPr>
      </w:pPr>
    </w:p>
    <w:p w14:paraId="36AD90A1" w14:textId="1FAA8E3B" w:rsidR="00A86664" w:rsidRDefault="00A86664" w:rsidP="00291CCB">
      <w:pPr>
        <w:pStyle w:val="ListParagraph"/>
        <w:numPr>
          <w:ilvl w:val="1"/>
          <w:numId w:val="23"/>
        </w:numPr>
        <w:rPr>
          <w:sz w:val="24"/>
        </w:rPr>
      </w:pPr>
      <w:r w:rsidRPr="00291CCB">
        <w:rPr>
          <w:sz w:val="24"/>
        </w:rPr>
        <w:t xml:space="preserve">Key roles of the Risk Champions </w:t>
      </w:r>
      <w:r w:rsidR="00CB49D8" w:rsidRPr="00291CCB">
        <w:rPr>
          <w:sz w:val="24"/>
        </w:rPr>
        <w:t xml:space="preserve">Working </w:t>
      </w:r>
      <w:r w:rsidR="00A0307B" w:rsidRPr="00291CCB">
        <w:rPr>
          <w:sz w:val="24"/>
        </w:rPr>
        <w:t>Group</w:t>
      </w:r>
      <w:r w:rsidRPr="00291CCB">
        <w:rPr>
          <w:sz w:val="24"/>
        </w:rPr>
        <w:t xml:space="preserve"> are to:</w:t>
      </w:r>
    </w:p>
    <w:p w14:paraId="6D1F26FA" w14:textId="77777777" w:rsidR="00291CCB" w:rsidRPr="00291CCB" w:rsidRDefault="00291CCB" w:rsidP="00291CCB">
      <w:pPr>
        <w:pStyle w:val="ListParagraph"/>
        <w:ind w:left="857" w:firstLine="0"/>
        <w:rPr>
          <w:sz w:val="24"/>
        </w:rPr>
      </w:pPr>
    </w:p>
    <w:p w14:paraId="3B923A85" w14:textId="77777777" w:rsidR="00A86664" w:rsidRPr="00220A07" w:rsidRDefault="00A86664" w:rsidP="009700E0">
      <w:pPr>
        <w:pStyle w:val="ListParagraph"/>
        <w:numPr>
          <w:ilvl w:val="2"/>
          <w:numId w:val="26"/>
        </w:numPr>
        <w:tabs>
          <w:tab w:val="left" w:pos="426"/>
        </w:tabs>
        <w:snapToGrid w:val="0"/>
        <w:spacing w:after="120"/>
        <w:ind w:left="850" w:hanging="425"/>
        <w:contextualSpacing w:val="0"/>
        <w:jc w:val="left"/>
        <w:rPr>
          <w:rFonts w:cs="Arial"/>
          <w:sz w:val="24"/>
        </w:rPr>
      </w:pPr>
      <w:r w:rsidRPr="00220A07">
        <w:rPr>
          <w:rFonts w:cs="Arial"/>
          <w:sz w:val="24"/>
        </w:rPr>
        <w:t xml:space="preserve">To support the institution in managing the implementation of </w:t>
      </w:r>
      <w:proofErr w:type="gramStart"/>
      <w:r w:rsidRPr="00220A07">
        <w:rPr>
          <w:rFonts w:cs="Arial"/>
          <w:sz w:val="24"/>
        </w:rPr>
        <w:t>University</w:t>
      </w:r>
      <w:proofErr w:type="gramEnd"/>
      <w:r w:rsidRPr="00220A07">
        <w:rPr>
          <w:rFonts w:cs="Arial"/>
          <w:sz w:val="24"/>
        </w:rPr>
        <w:t xml:space="preserve"> policies and processes on risk management and control.</w:t>
      </w:r>
    </w:p>
    <w:p w14:paraId="73DBC579" w14:textId="7DB7C5D1" w:rsidR="00A86664" w:rsidRPr="00220A07" w:rsidRDefault="00A86664" w:rsidP="00B2621A">
      <w:pPr>
        <w:pStyle w:val="ListParagraph"/>
        <w:numPr>
          <w:ilvl w:val="2"/>
          <w:numId w:val="26"/>
        </w:numPr>
        <w:tabs>
          <w:tab w:val="left" w:pos="426"/>
        </w:tabs>
        <w:snapToGrid w:val="0"/>
        <w:spacing w:after="120"/>
        <w:ind w:left="850" w:hanging="425"/>
        <w:contextualSpacing w:val="0"/>
        <w:jc w:val="left"/>
        <w:rPr>
          <w:rFonts w:cs="Arial"/>
          <w:sz w:val="24"/>
        </w:rPr>
      </w:pPr>
      <w:r w:rsidRPr="00220A07">
        <w:rPr>
          <w:rFonts w:cs="Arial"/>
          <w:sz w:val="24"/>
        </w:rPr>
        <w:t xml:space="preserve">Meets quarterly to review risk management actions at University, </w:t>
      </w:r>
      <w:r w:rsidR="002661B2" w:rsidRPr="00220A07">
        <w:rPr>
          <w:rFonts w:cs="Arial"/>
          <w:sz w:val="24"/>
        </w:rPr>
        <w:t>School</w:t>
      </w:r>
      <w:r w:rsidRPr="00220A07">
        <w:rPr>
          <w:rFonts w:cs="Arial"/>
          <w:sz w:val="24"/>
        </w:rPr>
        <w:t>/professional service department and pro</w:t>
      </w:r>
      <w:r w:rsidR="002661B2" w:rsidRPr="00220A07">
        <w:rPr>
          <w:rFonts w:cs="Arial"/>
          <w:sz w:val="24"/>
        </w:rPr>
        <w:t>gramme</w:t>
      </w:r>
      <w:r w:rsidRPr="00220A07">
        <w:rPr>
          <w:rFonts w:cs="Arial"/>
          <w:sz w:val="24"/>
        </w:rPr>
        <w:t xml:space="preserve"> levels.</w:t>
      </w:r>
    </w:p>
    <w:p w14:paraId="5133A5E5" w14:textId="13613940" w:rsidR="00A86664" w:rsidRPr="00220A07" w:rsidRDefault="00A86664" w:rsidP="00B2621A">
      <w:pPr>
        <w:pStyle w:val="ListParagraph"/>
        <w:numPr>
          <w:ilvl w:val="2"/>
          <w:numId w:val="26"/>
        </w:numPr>
        <w:tabs>
          <w:tab w:val="left" w:pos="426"/>
        </w:tabs>
        <w:snapToGrid w:val="0"/>
        <w:spacing w:after="120"/>
        <w:ind w:left="850" w:hanging="425"/>
        <w:contextualSpacing w:val="0"/>
        <w:jc w:val="left"/>
        <w:rPr>
          <w:rFonts w:cs="Arial"/>
          <w:sz w:val="24"/>
        </w:rPr>
      </w:pPr>
      <w:r w:rsidRPr="00220A07">
        <w:rPr>
          <w:rFonts w:cs="Arial"/>
          <w:sz w:val="24"/>
        </w:rPr>
        <w:t>Identif</w:t>
      </w:r>
      <w:r w:rsidR="002661B2" w:rsidRPr="00220A07">
        <w:rPr>
          <w:rFonts w:cs="Arial"/>
          <w:sz w:val="24"/>
        </w:rPr>
        <w:t>y</w:t>
      </w:r>
      <w:r w:rsidRPr="00220A07">
        <w:rPr>
          <w:rFonts w:cs="Arial"/>
          <w:sz w:val="24"/>
        </w:rPr>
        <w:t xml:space="preserve"> and evaluate emerging risks</w:t>
      </w:r>
      <w:r w:rsidR="002661B2" w:rsidRPr="00220A07">
        <w:rPr>
          <w:rFonts w:cs="Arial"/>
          <w:sz w:val="24"/>
        </w:rPr>
        <w:t>,</w:t>
      </w:r>
      <w:r w:rsidRPr="00220A07">
        <w:rPr>
          <w:rFonts w:cs="Arial"/>
          <w:sz w:val="24"/>
        </w:rPr>
        <w:t xml:space="preserve"> escalating issues to </w:t>
      </w:r>
      <w:r w:rsidR="002661B2" w:rsidRPr="00220A07">
        <w:rPr>
          <w:rFonts w:cs="Arial"/>
          <w:sz w:val="24"/>
        </w:rPr>
        <w:t xml:space="preserve">the </w:t>
      </w:r>
      <w:r w:rsidR="00DB11B8" w:rsidRPr="00220A07">
        <w:rPr>
          <w:rFonts w:cs="Arial"/>
          <w:sz w:val="24"/>
        </w:rPr>
        <w:t xml:space="preserve">Chief </w:t>
      </w:r>
      <w:r w:rsidR="0045282C" w:rsidRPr="00220A07">
        <w:rPr>
          <w:rFonts w:cs="Arial"/>
          <w:sz w:val="24"/>
        </w:rPr>
        <w:t>Operating</w:t>
      </w:r>
      <w:r w:rsidR="00DB11B8" w:rsidRPr="00220A07">
        <w:rPr>
          <w:rFonts w:cs="Arial"/>
          <w:sz w:val="24"/>
        </w:rPr>
        <w:t xml:space="preserve"> Officer </w:t>
      </w:r>
      <w:r w:rsidRPr="00220A07">
        <w:rPr>
          <w:rFonts w:cs="Arial"/>
          <w:sz w:val="24"/>
        </w:rPr>
        <w:t>where necessary.</w:t>
      </w:r>
    </w:p>
    <w:p w14:paraId="4570349B" w14:textId="77777777" w:rsidR="00A86664" w:rsidRPr="00220A07" w:rsidRDefault="00A86664" w:rsidP="00B2621A">
      <w:pPr>
        <w:pStyle w:val="ListParagraph"/>
        <w:numPr>
          <w:ilvl w:val="2"/>
          <w:numId w:val="26"/>
        </w:numPr>
        <w:tabs>
          <w:tab w:val="left" w:pos="426"/>
        </w:tabs>
        <w:snapToGrid w:val="0"/>
        <w:spacing w:after="120"/>
        <w:ind w:left="850" w:hanging="425"/>
        <w:contextualSpacing w:val="0"/>
        <w:jc w:val="left"/>
        <w:rPr>
          <w:rFonts w:cs="Arial"/>
          <w:sz w:val="24"/>
        </w:rPr>
      </w:pPr>
      <w:r w:rsidRPr="00220A07">
        <w:rPr>
          <w:rFonts w:cs="Arial"/>
          <w:sz w:val="24"/>
        </w:rPr>
        <w:t>Considers good practice and makes policy and process improvement recommendations based upon improving performance.</w:t>
      </w:r>
    </w:p>
    <w:p w14:paraId="1079B039" w14:textId="77777777" w:rsidR="002024D7" w:rsidRDefault="002024D7" w:rsidP="00AE7D81">
      <w:pPr>
        <w:pStyle w:val="Heading1"/>
      </w:pPr>
    </w:p>
    <w:p w14:paraId="7C9F0628" w14:textId="65257EFF" w:rsidR="00A86664" w:rsidRDefault="00A86664" w:rsidP="00B2621A">
      <w:pPr>
        <w:pStyle w:val="Heading1"/>
        <w:numPr>
          <w:ilvl w:val="0"/>
          <w:numId w:val="23"/>
        </w:numPr>
      </w:pPr>
      <w:r w:rsidRPr="002024D7">
        <w:t>Role of Risk Champions</w:t>
      </w:r>
    </w:p>
    <w:p w14:paraId="6A85F365" w14:textId="77777777" w:rsidR="009700E0" w:rsidRPr="009700E0" w:rsidRDefault="009700E0" w:rsidP="009700E0">
      <w:pPr>
        <w:rPr>
          <w:lang w:eastAsia="zh-CN"/>
        </w:rPr>
      </w:pPr>
    </w:p>
    <w:p w14:paraId="7BBC234A" w14:textId="276A2C9C" w:rsidR="00A86664" w:rsidRPr="00291CCB" w:rsidRDefault="00A86664" w:rsidP="00291CCB">
      <w:pPr>
        <w:pStyle w:val="ListParagraph"/>
        <w:numPr>
          <w:ilvl w:val="1"/>
          <w:numId w:val="23"/>
        </w:numPr>
        <w:rPr>
          <w:sz w:val="24"/>
        </w:rPr>
      </w:pPr>
      <w:r w:rsidRPr="00291CCB">
        <w:rPr>
          <w:sz w:val="24"/>
        </w:rPr>
        <w:t>Key roles of Risk Champions are to:</w:t>
      </w:r>
    </w:p>
    <w:p w14:paraId="0ECF4643" w14:textId="77777777" w:rsidR="002024D7" w:rsidRPr="002024D7" w:rsidRDefault="002024D7" w:rsidP="002024D7">
      <w:pPr>
        <w:ind w:left="0" w:firstLine="0"/>
      </w:pPr>
    </w:p>
    <w:p w14:paraId="7BA2CA56" w14:textId="5AB8BF71" w:rsidR="00A86664" w:rsidRPr="00220A07" w:rsidRDefault="00A86664" w:rsidP="00D2791E">
      <w:pPr>
        <w:pStyle w:val="ListParagraph"/>
        <w:numPr>
          <w:ilvl w:val="2"/>
          <w:numId w:val="27"/>
        </w:numPr>
        <w:tabs>
          <w:tab w:val="left" w:pos="851"/>
        </w:tabs>
        <w:snapToGrid w:val="0"/>
        <w:spacing w:after="120"/>
        <w:ind w:left="851" w:hanging="425"/>
        <w:contextualSpacing w:val="0"/>
        <w:jc w:val="left"/>
        <w:rPr>
          <w:rFonts w:cs="Arial"/>
          <w:sz w:val="24"/>
        </w:rPr>
      </w:pPr>
      <w:r w:rsidRPr="00220A07">
        <w:rPr>
          <w:rFonts w:cs="Arial"/>
          <w:sz w:val="24"/>
        </w:rPr>
        <w:t xml:space="preserve">To work with their </w:t>
      </w:r>
      <w:r w:rsidR="00EB28A9">
        <w:rPr>
          <w:rFonts w:cs="Arial"/>
          <w:sz w:val="24"/>
        </w:rPr>
        <w:t>Dean</w:t>
      </w:r>
      <w:r w:rsidRPr="00220A07">
        <w:rPr>
          <w:rFonts w:cs="Arial"/>
          <w:sz w:val="24"/>
        </w:rPr>
        <w:t>/Director to develop and manage their risk register and associated action</w:t>
      </w:r>
      <w:r w:rsidR="002661B2" w:rsidRPr="00220A07">
        <w:rPr>
          <w:rFonts w:cs="Arial"/>
          <w:sz w:val="24"/>
        </w:rPr>
        <w:t>s</w:t>
      </w:r>
      <w:r w:rsidRPr="00220A07">
        <w:rPr>
          <w:rFonts w:cs="Arial"/>
          <w:sz w:val="24"/>
        </w:rPr>
        <w:t xml:space="preserve"> on an annual basis as part of the annual business plan</w:t>
      </w:r>
      <w:r w:rsidR="00261CD5" w:rsidRPr="00220A07">
        <w:rPr>
          <w:rFonts w:cs="Arial"/>
          <w:sz w:val="24"/>
        </w:rPr>
        <w:t xml:space="preserve">ning </w:t>
      </w:r>
      <w:proofErr w:type="gramStart"/>
      <w:r w:rsidR="00261CD5" w:rsidRPr="00220A07">
        <w:rPr>
          <w:rFonts w:cs="Arial"/>
          <w:sz w:val="24"/>
        </w:rPr>
        <w:t>cycle, and</w:t>
      </w:r>
      <w:proofErr w:type="gramEnd"/>
      <w:r w:rsidR="00261CD5" w:rsidRPr="00220A07">
        <w:rPr>
          <w:rFonts w:cs="Arial"/>
          <w:sz w:val="24"/>
        </w:rPr>
        <w:t xml:space="preserve"> ensure</w:t>
      </w:r>
      <w:r w:rsidRPr="00220A07">
        <w:rPr>
          <w:rFonts w:cs="Arial"/>
          <w:sz w:val="24"/>
        </w:rPr>
        <w:t xml:space="preserve"> that at least quarterly reviews </w:t>
      </w:r>
      <w:r w:rsidR="00261CD5" w:rsidRPr="00220A07">
        <w:rPr>
          <w:rFonts w:cs="Arial"/>
          <w:sz w:val="24"/>
        </w:rPr>
        <w:t xml:space="preserve">of the risk register </w:t>
      </w:r>
      <w:r w:rsidRPr="00220A07">
        <w:rPr>
          <w:rFonts w:cs="Arial"/>
          <w:sz w:val="24"/>
        </w:rPr>
        <w:t>take place</w:t>
      </w:r>
      <w:r w:rsidR="002661B2" w:rsidRPr="00220A07">
        <w:rPr>
          <w:rFonts w:cs="Arial"/>
          <w:sz w:val="24"/>
        </w:rPr>
        <w:t>, aligned to the cycle of meetings of the Risk Champions Working Group</w:t>
      </w:r>
      <w:r w:rsidRPr="00220A07">
        <w:rPr>
          <w:rFonts w:cs="Arial"/>
          <w:sz w:val="24"/>
        </w:rPr>
        <w:t>.</w:t>
      </w:r>
    </w:p>
    <w:p w14:paraId="2F393A35" w14:textId="08A25EBF" w:rsidR="00A86664" w:rsidRPr="00220A07" w:rsidRDefault="00A86664" w:rsidP="00B2621A">
      <w:pPr>
        <w:pStyle w:val="ListParagraph"/>
        <w:numPr>
          <w:ilvl w:val="2"/>
          <w:numId w:val="27"/>
        </w:numPr>
        <w:tabs>
          <w:tab w:val="left" w:pos="426"/>
        </w:tabs>
        <w:snapToGrid w:val="0"/>
        <w:spacing w:after="120"/>
        <w:ind w:left="850" w:hanging="425"/>
        <w:contextualSpacing w:val="0"/>
        <w:jc w:val="left"/>
        <w:rPr>
          <w:rFonts w:cs="Arial"/>
          <w:sz w:val="24"/>
        </w:rPr>
      </w:pPr>
      <w:r w:rsidRPr="00220A07">
        <w:rPr>
          <w:rFonts w:cs="Arial"/>
          <w:sz w:val="24"/>
        </w:rPr>
        <w:t xml:space="preserve">To ensure that major </w:t>
      </w:r>
      <w:r w:rsidR="002661B2" w:rsidRPr="00220A07">
        <w:rPr>
          <w:rFonts w:cs="Arial"/>
          <w:sz w:val="24"/>
        </w:rPr>
        <w:t>School</w:t>
      </w:r>
      <w:r w:rsidR="00261CD5" w:rsidRPr="00220A07">
        <w:rPr>
          <w:rFonts w:cs="Arial"/>
          <w:sz w:val="24"/>
        </w:rPr>
        <w:t xml:space="preserve">/PSD risks which have a </w:t>
      </w:r>
      <w:proofErr w:type="gramStart"/>
      <w:r w:rsidR="00261CD5" w:rsidRPr="00220A07">
        <w:rPr>
          <w:rFonts w:cs="Arial"/>
          <w:sz w:val="24"/>
        </w:rPr>
        <w:t>University</w:t>
      </w:r>
      <w:proofErr w:type="gramEnd"/>
      <w:r w:rsidR="00261CD5" w:rsidRPr="00220A07">
        <w:rPr>
          <w:rFonts w:cs="Arial"/>
          <w:sz w:val="24"/>
        </w:rPr>
        <w:t>-</w:t>
      </w:r>
      <w:r w:rsidRPr="00220A07">
        <w:rPr>
          <w:rFonts w:cs="Arial"/>
          <w:sz w:val="24"/>
        </w:rPr>
        <w:t xml:space="preserve">wide impact are reported to the </w:t>
      </w:r>
      <w:r w:rsidR="00DB11B8" w:rsidRPr="00220A07">
        <w:rPr>
          <w:rFonts w:cs="Arial"/>
          <w:sz w:val="24"/>
        </w:rPr>
        <w:t xml:space="preserve">Chief </w:t>
      </w:r>
      <w:r w:rsidR="0045282C" w:rsidRPr="00220A07">
        <w:rPr>
          <w:rFonts w:cs="Arial"/>
          <w:sz w:val="24"/>
        </w:rPr>
        <w:t>Operating</w:t>
      </w:r>
      <w:r w:rsidR="00DB11B8" w:rsidRPr="00220A07">
        <w:rPr>
          <w:rFonts w:cs="Arial"/>
          <w:sz w:val="24"/>
        </w:rPr>
        <w:t xml:space="preserve"> Officer</w:t>
      </w:r>
      <w:r w:rsidRPr="00220A07">
        <w:rPr>
          <w:rFonts w:cs="Arial"/>
          <w:sz w:val="24"/>
        </w:rPr>
        <w:t>.</w:t>
      </w:r>
    </w:p>
    <w:p w14:paraId="01E32AF3" w14:textId="412BC24D" w:rsidR="00DB11B8" w:rsidRPr="00220A07" w:rsidRDefault="00A86664" w:rsidP="00B2621A">
      <w:pPr>
        <w:pStyle w:val="ListParagraph"/>
        <w:numPr>
          <w:ilvl w:val="2"/>
          <w:numId w:val="27"/>
        </w:numPr>
        <w:tabs>
          <w:tab w:val="left" w:pos="426"/>
        </w:tabs>
        <w:snapToGrid w:val="0"/>
        <w:spacing w:after="120"/>
        <w:ind w:left="850" w:hanging="425"/>
        <w:contextualSpacing w:val="0"/>
        <w:jc w:val="left"/>
        <w:rPr>
          <w:rFonts w:cs="Arial"/>
          <w:sz w:val="24"/>
        </w:rPr>
      </w:pPr>
      <w:r w:rsidRPr="00220A07">
        <w:rPr>
          <w:rFonts w:cs="Arial"/>
          <w:sz w:val="24"/>
        </w:rPr>
        <w:t>To attend the quarterly meeting</w:t>
      </w:r>
      <w:r w:rsidR="002661B2" w:rsidRPr="00220A07">
        <w:rPr>
          <w:rFonts w:cs="Arial"/>
          <w:sz w:val="24"/>
        </w:rPr>
        <w:t>s</w:t>
      </w:r>
      <w:r w:rsidRPr="00220A07">
        <w:rPr>
          <w:rFonts w:cs="Arial"/>
          <w:sz w:val="24"/>
        </w:rPr>
        <w:t xml:space="preserve"> of the Risk Champions Group</w:t>
      </w:r>
      <w:r w:rsidR="00DB11B8" w:rsidRPr="00220A07">
        <w:rPr>
          <w:rFonts w:cs="Arial"/>
          <w:sz w:val="24"/>
        </w:rPr>
        <w:t xml:space="preserve"> to present the updated local risk register.</w:t>
      </w:r>
    </w:p>
    <w:p w14:paraId="417ACB8F" w14:textId="2C3D27C7" w:rsidR="00A86664" w:rsidRPr="00220A07" w:rsidRDefault="00DB11B8" w:rsidP="00B2621A">
      <w:pPr>
        <w:pStyle w:val="ListParagraph"/>
        <w:numPr>
          <w:ilvl w:val="2"/>
          <w:numId w:val="27"/>
        </w:numPr>
        <w:tabs>
          <w:tab w:val="left" w:pos="426"/>
        </w:tabs>
        <w:snapToGrid w:val="0"/>
        <w:spacing w:after="120"/>
        <w:ind w:left="850" w:hanging="425"/>
        <w:contextualSpacing w:val="0"/>
        <w:jc w:val="left"/>
        <w:rPr>
          <w:rFonts w:cs="Arial"/>
          <w:sz w:val="24"/>
        </w:rPr>
      </w:pPr>
      <w:r w:rsidRPr="00220A07">
        <w:rPr>
          <w:rFonts w:eastAsia="MingLiU" w:cs="Arial"/>
          <w:bCs/>
          <w:color w:val="auto"/>
          <w:sz w:val="24"/>
          <w:lang w:eastAsia="zh-HK"/>
        </w:rPr>
        <w:t>Risk champions are required to make recommendations for mitigations to emerging risks.</w:t>
      </w:r>
    </w:p>
    <w:p w14:paraId="1EE011A8" w14:textId="328784AC" w:rsidR="00A86664" w:rsidRPr="00220A07" w:rsidRDefault="00A86664" w:rsidP="00B2621A">
      <w:pPr>
        <w:pStyle w:val="ListParagraph"/>
        <w:numPr>
          <w:ilvl w:val="2"/>
          <w:numId w:val="27"/>
        </w:numPr>
        <w:tabs>
          <w:tab w:val="left" w:pos="426"/>
        </w:tabs>
        <w:snapToGrid w:val="0"/>
        <w:spacing w:after="120"/>
        <w:ind w:left="850" w:hanging="425"/>
        <w:contextualSpacing w:val="0"/>
        <w:jc w:val="left"/>
        <w:rPr>
          <w:rFonts w:cs="Arial"/>
          <w:sz w:val="24"/>
        </w:rPr>
      </w:pPr>
      <w:r w:rsidRPr="00220A07">
        <w:rPr>
          <w:rFonts w:cs="Arial"/>
          <w:sz w:val="24"/>
        </w:rPr>
        <w:t>At meetings of the Risk Champions Group</w:t>
      </w:r>
      <w:r w:rsidR="002661B2" w:rsidRPr="00220A07">
        <w:rPr>
          <w:rFonts w:cs="Arial"/>
          <w:sz w:val="24"/>
        </w:rPr>
        <w:t>,</w:t>
      </w:r>
      <w:r w:rsidRPr="00220A07">
        <w:rPr>
          <w:rFonts w:cs="Arial"/>
          <w:sz w:val="24"/>
        </w:rPr>
        <w:t xml:space="preserve"> to review the major risks in all </w:t>
      </w:r>
      <w:r w:rsidR="002661B2" w:rsidRPr="00220A07">
        <w:rPr>
          <w:rFonts w:cs="Arial"/>
          <w:sz w:val="24"/>
        </w:rPr>
        <w:t xml:space="preserve">School, </w:t>
      </w:r>
      <w:r w:rsidRPr="00220A07">
        <w:rPr>
          <w:rFonts w:cs="Arial"/>
          <w:sz w:val="24"/>
        </w:rPr>
        <w:t>PSD</w:t>
      </w:r>
      <w:r w:rsidR="00261CD5" w:rsidRPr="00220A07">
        <w:rPr>
          <w:rFonts w:cs="Arial"/>
          <w:sz w:val="24"/>
        </w:rPr>
        <w:t xml:space="preserve"> and programme</w:t>
      </w:r>
      <w:r w:rsidRPr="00220A07">
        <w:rPr>
          <w:rFonts w:cs="Arial"/>
          <w:sz w:val="24"/>
        </w:rPr>
        <w:t xml:space="preserve"> risk registers in a constructive manner.  The </w:t>
      </w:r>
      <w:r w:rsidR="00AB02C0" w:rsidRPr="00220A07">
        <w:rPr>
          <w:rFonts w:cs="Arial"/>
          <w:sz w:val="24"/>
        </w:rPr>
        <w:t>Group shall consider in particular</w:t>
      </w:r>
      <w:r w:rsidR="00612E3D" w:rsidRPr="00220A07">
        <w:rPr>
          <w:rFonts w:cs="Arial"/>
          <w:sz w:val="24"/>
        </w:rPr>
        <w:t>:</w:t>
      </w:r>
    </w:p>
    <w:p w14:paraId="1512124E" w14:textId="77777777" w:rsidR="00A86664" w:rsidRPr="00220A07" w:rsidRDefault="00A86664" w:rsidP="00B2621A">
      <w:pPr>
        <w:pStyle w:val="ListParagraph"/>
        <w:numPr>
          <w:ilvl w:val="3"/>
          <w:numId w:val="27"/>
        </w:numPr>
        <w:tabs>
          <w:tab w:val="left" w:pos="426"/>
        </w:tabs>
        <w:snapToGrid w:val="0"/>
        <w:spacing w:after="80"/>
        <w:ind w:firstLine="130"/>
        <w:contextualSpacing w:val="0"/>
        <w:jc w:val="left"/>
        <w:rPr>
          <w:rFonts w:cs="Arial"/>
          <w:sz w:val="24"/>
        </w:rPr>
      </w:pPr>
      <w:r w:rsidRPr="00220A07">
        <w:rPr>
          <w:rFonts w:cs="Arial"/>
          <w:sz w:val="24"/>
        </w:rPr>
        <w:t>Consistency of scoring</w:t>
      </w:r>
    </w:p>
    <w:p w14:paraId="7154FD9E" w14:textId="77777777" w:rsidR="00612E3D" w:rsidRPr="00220A07" w:rsidRDefault="00A86664" w:rsidP="00B2621A">
      <w:pPr>
        <w:pStyle w:val="ListParagraph"/>
        <w:numPr>
          <w:ilvl w:val="3"/>
          <w:numId w:val="27"/>
        </w:numPr>
        <w:tabs>
          <w:tab w:val="left" w:pos="426"/>
        </w:tabs>
        <w:snapToGrid w:val="0"/>
        <w:spacing w:after="80"/>
        <w:ind w:firstLine="130"/>
        <w:contextualSpacing w:val="0"/>
        <w:jc w:val="left"/>
        <w:rPr>
          <w:rFonts w:cs="Arial"/>
          <w:sz w:val="24"/>
        </w:rPr>
      </w:pPr>
      <w:r w:rsidRPr="00220A07">
        <w:rPr>
          <w:rFonts w:cs="Arial"/>
          <w:sz w:val="24"/>
        </w:rPr>
        <w:t>Appropriateness of further mitigation actions</w:t>
      </w:r>
    </w:p>
    <w:p w14:paraId="64929AF2" w14:textId="77777777" w:rsidR="00A86664" w:rsidRPr="00220A07" w:rsidRDefault="00A86664" w:rsidP="00B2621A">
      <w:pPr>
        <w:pStyle w:val="ListParagraph"/>
        <w:numPr>
          <w:ilvl w:val="3"/>
          <w:numId w:val="27"/>
        </w:numPr>
        <w:tabs>
          <w:tab w:val="left" w:pos="426"/>
        </w:tabs>
        <w:snapToGrid w:val="0"/>
        <w:spacing w:after="80"/>
        <w:ind w:firstLine="130"/>
        <w:contextualSpacing w:val="0"/>
        <w:jc w:val="left"/>
        <w:rPr>
          <w:rFonts w:cs="Arial"/>
          <w:sz w:val="24"/>
        </w:rPr>
      </w:pPr>
      <w:r w:rsidRPr="00220A07">
        <w:rPr>
          <w:rFonts w:cs="Arial"/>
          <w:sz w:val="24"/>
        </w:rPr>
        <w:t>Progress on achieving further mitigations</w:t>
      </w:r>
    </w:p>
    <w:p w14:paraId="6CE8090A" w14:textId="00B1E8EA" w:rsidR="00985047" w:rsidRPr="00220A07" w:rsidRDefault="00985047" w:rsidP="00A86DC0">
      <w:pPr>
        <w:tabs>
          <w:tab w:val="left" w:pos="142"/>
        </w:tabs>
        <w:ind w:left="0" w:hanging="709"/>
        <w:jc w:val="left"/>
        <w:rPr>
          <w:rFonts w:cs="Arial"/>
          <w:b/>
          <w:bCs/>
          <w:sz w:val="24"/>
        </w:rPr>
      </w:pPr>
      <w:r w:rsidRPr="00220A07">
        <w:rPr>
          <w:rFonts w:cs="Arial"/>
          <w:b/>
          <w:bCs/>
          <w:sz w:val="24"/>
        </w:rPr>
        <w:br w:type="page"/>
      </w:r>
    </w:p>
    <w:p w14:paraId="2961EDEB" w14:textId="3E5D9AB9" w:rsidR="00190227" w:rsidRPr="000E14C9" w:rsidRDefault="001B59DC" w:rsidP="0050318D">
      <w:pPr>
        <w:pStyle w:val="Title"/>
        <w:ind w:firstLine="0"/>
        <w:rPr>
          <w:rStyle w:val="Hyperlink"/>
          <w:color w:val="000000"/>
          <w:sz w:val="28"/>
          <w:szCs w:val="28"/>
          <w:u w:val="none"/>
        </w:rPr>
      </w:pPr>
      <w:r w:rsidRPr="000E14C9">
        <w:rPr>
          <w:sz w:val="28"/>
          <w:szCs w:val="28"/>
        </w:rPr>
        <w:lastRenderedPageBreak/>
        <w:t xml:space="preserve">Appendix </w:t>
      </w:r>
      <w:r w:rsidR="00777B2C" w:rsidRPr="000E14C9">
        <w:rPr>
          <w:sz w:val="28"/>
          <w:szCs w:val="28"/>
        </w:rPr>
        <w:t xml:space="preserve">C </w:t>
      </w:r>
      <w:r w:rsidR="002945E0" w:rsidRPr="000E14C9">
        <w:rPr>
          <w:sz w:val="28"/>
          <w:szCs w:val="28"/>
        </w:rPr>
        <w:t xml:space="preserve">- Guidance on how to complete the </w:t>
      </w:r>
      <w:hyperlink r:id="rId16" w:history="1">
        <w:r w:rsidR="002945E0" w:rsidRPr="000E14C9">
          <w:rPr>
            <w:sz w:val="28"/>
            <w:szCs w:val="28"/>
          </w:rPr>
          <w:t>Risk Register Template</w:t>
        </w:r>
      </w:hyperlink>
    </w:p>
    <w:p w14:paraId="0AB386EC" w14:textId="77777777" w:rsidR="00F51260" w:rsidRPr="00220A07" w:rsidRDefault="00F51260" w:rsidP="00F51260">
      <w:pPr>
        <w:tabs>
          <w:tab w:val="left" w:pos="142"/>
        </w:tabs>
        <w:ind w:left="0" w:hanging="709"/>
        <w:jc w:val="left"/>
        <w:rPr>
          <w:rFonts w:cs="Arial"/>
          <w:b/>
          <w:bCs/>
          <w:color w:val="0000FF" w:themeColor="hyperlink"/>
          <w:sz w:val="24"/>
          <w:u w:val="single"/>
        </w:rPr>
      </w:pPr>
    </w:p>
    <w:p w14:paraId="427BE813" w14:textId="77777777" w:rsidR="00EC7FC7" w:rsidRDefault="00EC7FC7" w:rsidP="0068196F">
      <w:pPr>
        <w:tabs>
          <w:tab w:val="left" w:pos="142"/>
        </w:tabs>
        <w:snapToGrid w:val="0"/>
        <w:spacing w:after="120"/>
        <w:ind w:left="284" w:hanging="709"/>
        <w:jc w:val="left"/>
        <w:rPr>
          <w:rFonts w:cs="Arial"/>
          <w:sz w:val="24"/>
        </w:rPr>
        <w:sectPr w:rsidR="00EC7FC7" w:rsidSect="00D2791E">
          <w:footerReference w:type="even" r:id="rId17"/>
          <w:pgSz w:w="11900" w:h="16840"/>
          <w:pgMar w:top="1440" w:right="1410" w:bottom="1440" w:left="1134" w:header="720" w:footer="294" w:gutter="0"/>
          <w:cols w:space="720"/>
          <w:docGrid w:linePitch="299"/>
        </w:sectPr>
      </w:pPr>
    </w:p>
    <w:p w14:paraId="06CAB049" w14:textId="744F01AD" w:rsidR="00F51260" w:rsidRPr="00220A07" w:rsidRDefault="00F51260" w:rsidP="0068196F">
      <w:pPr>
        <w:tabs>
          <w:tab w:val="left" w:pos="142"/>
        </w:tabs>
        <w:snapToGrid w:val="0"/>
        <w:spacing w:after="120"/>
        <w:ind w:left="284" w:hanging="709"/>
        <w:jc w:val="left"/>
        <w:rPr>
          <w:rFonts w:cs="Arial"/>
          <w:sz w:val="24"/>
        </w:rPr>
      </w:pPr>
      <w:r w:rsidRPr="00220A07">
        <w:rPr>
          <w:rFonts w:cs="Arial"/>
          <w:noProof/>
          <w:sz w:val="24"/>
          <w:lang w:eastAsia="en-GB"/>
        </w:rPr>
        <w:lastRenderedPageBreak/>
        <w:drawing>
          <wp:inline distT="0" distB="0" distL="0" distR="0" wp14:anchorId="16003A05" wp14:editId="7A50FD6B">
            <wp:extent cx="9587201" cy="4779034"/>
            <wp:effectExtent l="0" t="0" r="0" b="2540"/>
            <wp:docPr id="2" name="Picture 2" descr="The picture is a chart with the Guidance on how to complete the Risk Regist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pic:cNvPicPr/>
                  </pic:nvPicPr>
                  <pic:blipFill>
                    <a:blip r:embed="rId18"/>
                    <a:stretch>
                      <a:fillRect/>
                    </a:stretch>
                  </pic:blipFill>
                  <pic:spPr>
                    <a:xfrm>
                      <a:off x="0" y="0"/>
                      <a:ext cx="9647664" cy="4809174"/>
                    </a:xfrm>
                    <a:prstGeom prst="rect">
                      <a:avLst/>
                    </a:prstGeom>
                  </pic:spPr>
                </pic:pic>
              </a:graphicData>
            </a:graphic>
          </wp:inline>
        </w:drawing>
      </w:r>
    </w:p>
    <w:p w14:paraId="0E430526" w14:textId="77777777" w:rsidR="00EC7FC7" w:rsidRDefault="00EC7FC7" w:rsidP="00DD75AB">
      <w:pPr>
        <w:tabs>
          <w:tab w:val="left" w:pos="142"/>
        </w:tabs>
        <w:snapToGrid w:val="0"/>
        <w:spacing w:after="120"/>
        <w:ind w:left="0" w:hanging="709"/>
        <w:jc w:val="left"/>
        <w:rPr>
          <w:rFonts w:cs="Arial"/>
          <w:sz w:val="24"/>
        </w:rPr>
        <w:sectPr w:rsidR="00EC7FC7" w:rsidSect="00EC7FC7">
          <w:pgSz w:w="16840" w:h="11900" w:orient="landscape"/>
          <w:pgMar w:top="1134" w:right="1440" w:bottom="1410" w:left="1440" w:header="720" w:footer="294" w:gutter="0"/>
          <w:cols w:space="720"/>
          <w:docGrid w:linePitch="299"/>
        </w:sectPr>
      </w:pPr>
    </w:p>
    <w:p w14:paraId="57399C90" w14:textId="77777777" w:rsidR="00EE07F1" w:rsidRPr="00220A07" w:rsidRDefault="00EE07F1" w:rsidP="00DD75AB">
      <w:pPr>
        <w:tabs>
          <w:tab w:val="left" w:pos="142"/>
        </w:tabs>
        <w:snapToGrid w:val="0"/>
        <w:spacing w:after="120"/>
        <w:ind w:left="0" w:hanging="709"/>
        <w:jc w:val="left"/>
        <w:rPr>
          <w:rFonts w:cs="Arial"/>
          <w:sz w:val="24"/>
        </w:rPr>
      </w:pPr>
    </w:p>
    <w:p w14:paraId="0345B262" w14:textId="1DDFDC13" w:rsidR="00EE07F1" w:rsidRPr="00220A07" w:rsidRDefault="00EE07F1" w:rsidP="0068196F">
      <w:pPr>
        <w:tabs>
          <w:tab w:val="left" w:pos="142"/>
        </w:tabs>
        <w:snapToGrid w:val="0"/>
        <w:spacing w:after="120"/>
        <w:ind w:left="284" w:hanging="709"/>
        <w:jc w:val="left"/>
        <w:rPr>
          <w:rFonts w:cs="Arial"/>
          <w:sz w:val="24"/>
        </w:rPr>
      </w:pPr>
      <w:r w:rsidRPr="00220A07">
        <w:rPr>
          <w:rFonts w:cs="Arial"/>
          <w:sz w:val="24"/>
        </w:rPr>
        <w:t>From the template, each column is separately defined, as follows</w:t>
      </w:r>
      <w:r w:rsidR="00736F4A">
        <w:rPr>
          <w:rFonts w:cs="Arial"/>
          <w:sz w:val="24"/>
        </w:rPr>
        <w:t>:</w:t>
      </w:r>
    </w:p>
    <w:p w14:paraId="2CF1202C" w14:textId="66AF56B0" w:rsidR="00AE691E" w:rsidRDefault="002945E0" w:rsidP="00B2621A">
      <w:pPr>
        <w:pStyle w:val="Heading1"/>
        <w:numPr>
          <w:ilvl w:val="0"/>
          <w:numId w:val="28"/>
        </w:numPr>
      </w:pPr>
      <w:r w:rsidRPr="00AE7D81">
        <w:t>‘Risk and owner’- identification of risks and risk owners</w:t>
      </w:r>
    </w:p>
    <w:p w14:paraId="6F9D9EBD" w14:textId="1EBEBF1F" w:rsidR="006C030F" w:rsidRDefault="006C030F" w:rsidP="0050318D">
      <w:pPr>
        <w:ind w:left="0" w:firstLine="0"/>
        <w:rPr>
          <w:lang w:eastAsia="zh-CN"/>
        </w:rPr>
      </w:pPr>
    </w:p>
    <w:p w14:paraId="16B6C76E" w14:textId="300A971A" w:rsidR="006C030F" w:rsidRDefault="006C030F" w:rsidP="006C030F">
      <w:pPr>
        <w:pStyle w:val="ListParagraph"/>
        <w:numPr>
          <w:ilvl w:val="1"/>
          <w:numId w:val="28"/>
        </w:numPr>
        <w:rPr>
          <w:sz w:val="24"/>
        </w:rPr>
      </w:pPr>
      <w:r w:rsidRPr="006C030F">
        <w:rPr>
          <w:sz w:val="24"/>
        </w:rPr>
        <w:t>This column should provide details of the headline risk, allocate a risk owner and provide details of the key support staff that have been identified to deliver on pl</w:t>
      </w:r>
      <w:r>
        <w:rPr>
          <w:sz w:val="24"/>
        </w:rPr>
        <w:t>an</w:t>
      </w:r>
      <w:r w:rsidR="00736F4A">
        <w:rPr>
          <w:sz w:val="24"/>
        </w:rPr>
        <w:t>s.</w:t>
      </w:r>
    </w:p>
    <w:p w14:paraId="28535D8A" w14:textId="77777777" w:rsidR="00310D10" w:rsidRPr="0050318D" w:rsidRDefault="00310D10" w:rsidP="0050318D">
      <w:pPr>
        <w:ind w:left="0" w:firstLine="0"/>
        <w:rPr>
          <w:sz w:val="24"/>
        </w:rPr>
      </w:pPr>
    </w:p>
    <w:p w14:paraId="277441FD" w14:textId="4CB994F0" w:rsidR="006C030F" w:rsidRPr="006C030F" w:rsidRDefault="006C030F" w:rsidP="006C030F">
      <w:pPr>
        <w:pStyle w:val="ListParagraph"/>
        <w:numPr>
          <w:ilvl w:val="1"/>
          <w:numId w:val="28"/>
        </w:numPr>
        <w:rPr>
          <w:sz w:val="24"/>
          <w:lang w:eastAsia="zh-CN"/>
        </w:rPr>
      </w:pPr>
      <w:r>
        <w:rPr>
          <w:sz w:val="24"/>
          <w:lang w:eastAsia="zh-CN"/>
        </w:rPr>
        <w:t>T</w:t>
      </w:r>
      <w:r w:rsidRPr="006C030F">
        <w:rPr>
          <w:sz w:val="24"/>
          <w:lang w:eastAsia="zh-CN"/>
        </w:rPr>
        <w:t>he first step in the risk management process is risk identification.</w:t>
      </w:r>
    </w:p>
    <w:p w14:paraId="7A382BD9" w14:textId="68ABE97C" w:rsidR="003A2004" w:rsidRPr="00220A07" w:rsidRDefault="003A2004" w:rsidP="0050318D">
      <w:pPr>
        <w:ind w:left="0" w:firstLine="0"/>
      </w:pPr>
    </w:p>
    <w:p w14:paraId="295E084F" w14:textId="06A6D821" w:rsidR="003A2004" w:rsidRDefault="003A2004" w:rsidP="006C030F">
      <w:pPr>
        <w:pStyle w:val="ListParagraph"/>
        <w:numPr>
          <w:ilvl w:val="1"/>
          <w:numId w:val="28"/>
        </w:numPr>
        <w:rPr>
          <w:sz w:val="24"/>
          <w:lang w:eastAsia="zh-CN"/>
        </w:rPr>
      </w:pPr>
      <w:r w:rsidRPr="006C030F">
        <w:rPr>
          <w:sz w:val="24"/>
          <w:lang w:eastAsia="zh-CN"/>
        </w:rPr>
        <w:t>A variety of methods can be used for identifying risks. For example, brainstorming sessions or workshops involving key stakeholders are common approaches. At project level, risk identification may be carried out using standardised checklists which identify risks commonly associated.</w:t>
      </w:r>
    </w:p>
    <w:p w14:paraId="1EA262B7" w14:textId="77777777" w:rsidR="00736F4A" w:rsidRPr="0050318D" w:rsidRDefault="00736F4A" w:rsidP="0050318D">
      <w:pPr>
        <w:ind w:left="0" w:firstLine="0"/>
        <w:rPr>
          <w:sz w:val="24"/>
          <w:lang w:eastAsia="zh-CN"/>
        </w:rPr>
      </w:pPr>
    </w:p>
    <w:p w14:paraId="396BFC9F" w14:textId="00E6B25B" w:rsidR="00475212" w:rsidRPr="0050318D" w:rsidRDefault="00736F4A" w:rsidP="006D63B6">
      <w:pPr>
        <w:pStyle w:val="ListParagraph"/>
        <w:numPr>
          <w:ilvl w:val="1"/>
          <w:numId w:val="28"/>
        </w:numPr>
        <w:tabs>
          <w:tab w:val="left" w:pos="426"/>
        </w:tabs>
        <w:snapToGrid w:val="0"/>
        <w:spacing w:after="120"/>
        <w:jc w:val="left"/>
        <w:rPr>
          <w:rFonts w:cs="Arial"/>
        </w:rPr>
      </w:pPr>
      <w:r w:rsidRPr="0050318D">
        <w:rPr>
          <w:sz w:val="24"/>
          <w:lang w:eastAsia="zh-CN"/>
        </w:rPr>
        <w:t xml:space="preserve">In the Corporate Risk Register, risks should be those considered to be risks to the achievement of the University’s Strategic Plan; in local risk registers, they should be risk to the objectives of the School, PSD or programme. Local School, PSD and </w:t>
      </w:r>
      <w:r w:rsidRPr="0050318D">
        <w:rPr>
          <w:rFonts w:cs="Arial"/>
          <w:sz w:val="24"/>
        </w:rPr>
        <w:t>programme objectives should connect to one or more of the priorities in the Strategic Plan</w:t>
      </w:r>
      <w:r w:rsidR="0050318D">
        <w:rPr>
          <w:rFonts w:cs="Arial"/>
          <w:sz w:val="24"/>
        </w:rPr>
        <w:br/>
      </w:r>
    </w:p>
    <w:p w14:paraId="7EC721EB" w14:textId="29C10AC5" w:rsidR="00A0307B" w:rsidRDefault="00A0307B" w:rsidP="004A0C2A">
      <w:pPr>
        <w:pStyle w:val="ListParagraph"/>
        <w:numPr>
          <w:ilvl w:val="1"/>
          <w:numId w:val="28"/>
        </w:numPr>
        <w:rPr>
          <w:sz w:val="24"/>
          <w:lang w:eastAsia="zh-CN"/>
        </w:rPr>
      </w:pPr>
      <w:r w:rsidRPr="004A0C2A">
        <w:rPr>
          <w:sz w:val="24"/>
          <w:lang w:eastAsia="zh-CN"/>
        </w:rPr>
        <w:t>The Board of Governors approved the Strategic P</w:t>
      </w:r>
      <w:r w:rsidR="002945E0" w:rsidRPr="004A0C2A">
        <w:rPr>
          <w:sz w:val="24"/>
          <w:lang w:eastAsia="zh-CN"/>
        </w:rPr>
        <w:t>l</w:t>
      </w:r>
      <w:r w:rsidRPr="004A0C2A">
        <w:rPr>
          <w:sz w:val="24"/>
          <w:lang w:eastAsia="zh-CN"/>
        </w:rPr>
        <w:t xml:space="preserve">an </w:t>
      </w:r>
      <w:r w:rsidR="00370331" w:rsidRPr="004A0C2A">
        <w:rPr>
          <w:sz w:val="24"/>
          <w:lang w:eastAsia="zh-CN"/>
        </w:rPr>
        <w:t>2019/20- 2023/24</w:t>
      </w:r>
      <w:r w:rsidRPr="004A0C2A">
        <w:rPr>
          <w:sz w:val="24"/>
          <w:lang w:eastAsia="zh-CN"/>
        </w:rPr>
        <w:t xml:space="preserve"> establishing the following priorities:</w:t>
      </w:r>
    </w:p>
    <w:p w14:paraId="6DC6E84D" w14:textId="77777777" w:rsidR="00812694" w:rsidRPr="004A0C2A" w:rsidRDefault="00812694" w:rsidP="00812694">
      <w:pPr>
        <w:pStyle w:val="ListParagraph"/>
        <w:ind w:left="510" w:firstLine="0"/>
        <w:rPr>
          <w:sz w:val="24"/>
          <w:lang w:eastAsia="zh-CN"/>
        </w:rPr>
      </w:pPr>
    </w:p>
    <w:p w14:paraId="4F677E69" w14:textId="3DCCC3C7" w:rsidR="00E1000F" w:rsidRPr="00812694" w:rsidRDefault="00E1000F" w:rsidP="00812694">
      <w:pPr>
        <w:pStyle w:val="ListParagraph"/>
        <w:numPr>
          <w:ilvl w:val="0"/>
          <w:numId w:val="34"/>
        </w:numPr>
        <w:tabs>
          <w:tab w:val="left" w:pos="426"/>
        </w:tabs>
        <w:snapToGrid w:val="0"/>
        <w:spacing w:after="120"/>
        <w:contextualSpacing w:val="0"/>
        <w:jc w:val="left"/>
        <w:rPr>
          <w:rFonts w:cs="Arial"/>
          <w:color w:val="000000" w:themeColor="text1"/>
          <w:sz w:val="24"/>
        </w:rPr>
      </w:pPr>
      <w:r w:rsidRPr="00220A07">
        <w:rPr>
          <w:rFonts w:cs="Arial"/>
          <w:b/>
          <w:bCs/>
        </w:rPr>
        <w:t xml:space="preserve"> </w:t>
      </w:r>
      <w:r w:rsidR="00370331" w:rsidRPr="00812694">
        <w:rPr>
          <w:rFonts w:cs="Arial"/>
          <w:color w:val="000000" w:themeColor="text1"/>
          <w:sz w:val="24"/>
        </w:rPr>
        <w:t>People</w:t>
      </w:r>
    </w:p>
    <w:p w14:paraId="52C2C37D" w14:textId="07C93AB3" w:rsidR="00475212" w:rsidRPr="00812694" w:rsidRDefault="00E1000F" w:rsidP="00812694">
      <w:pPr>
        <w:pStyle w:val="ListParagraph"/>
        <w:numPr>
          <w:ilvl w:val="0"/>
          <w:numId w:val="34"/>
        </w:numPr>
        <w:tabs>
          <w:tab w:val="left" w:pos="426"/>
        </w:tabs>
        <w:snapToGrid w:val="0"/>
        <w:spacing w:after="120"/>
        <w:contextualSpacing w:val="0"/>
        <w:jc w:val="left"/>
        <w:rPr>
          <w:rFonts w:cs="Arial"/>
          <w:color w:val="000000" w:themeColor="text1"/>
          <w:sz w:val="24"/>
        </w:rPr>
      </w:pPr>
      <w:r w:rsidRPr="00812694">
        <w:rPr>
          <w:rFonts w:cs="Arial"/>
          <w:color w:val="000000" w:themeColor="text1"/>
          <w:sz w:val="24"/>
        </w:rPr>
        <w:t xml:space="preserve"> </w:t>
      </w:r>
      <w:r w:rsidR="00370331" w:rsidRPr="00812694">
        <w:rPr>
          <w:rFonts w:cs="Arial"/>
          <w:color w:val="000000" w:themeColor="text1"/>
          <w:sz w:val="24"/>
        </w:rPr>
        <w:t>Student Success</w:t>
      </w:r>
    </w:p>
    <w:p w14:paraId="14D26B47" w14:textId="5C74FFC7" w:rsidR="00475212" w:rsidRPr="00812694" w:rsidRDefault="00E1000F" w:rsidP="00812694">
      <w:pPr>
        <w:pStyle w:val="ListParagraph"/>
        <w:numPr>
          <w:ilvl w:val="0"/>
          <w:numId w:val="34"/>
        </w:numPr>
        <w:tabs>
          <w:tab w:val="left" w:pos="426"/>
        </w:tabs>
        <w:snapToGrid w:val="0"/>
        <w:spacing w:after="120"/>
        <w:contextualSpacing w:val="0"/>
        <w:jc w:val="left"/>
        <w:rPr>
          <w:rFonts w:cs="Arial"/>
          <w:color w:val="000000" w:themeColor="text1"/>
          <w:sz w:val="24"/>
        </w:rPr>
      </w:pPr>
      <w:r w:rsidRPr="00812694">
        <w:rPr>
          <w:rFonts w:cs="Arial"/>
          <w:color w:val="000000" w:themeColor="text1"/>
          <w:sz w:val="24"/>
        </w:rPr>
        <w:t xml:space="preserve"> </w:t>
      </w:r>
      <w:r w:rsidR="00370331" w:rsidRPr="00812694">
        <w:rPr>
          <w:rFonts w:cs="Arial"/>
          <w:color w:val="000000" w:themeColor="text1"/>
          <w:sz w:val="24"/>
        </w:rPr>
        <w:t>Research and Impact</w:t>
      </w:r>
    </w:p>
    <w:p w14:paraId="676A469A" w14:textId="0F855E45" w:rsidR="00475212" w:rsidRPr="00812694" w:rsidRDefault="00E1000F" w:rsidP="00812694">
      <w:pPr>
        <w:pStyle w:val="ListParagraph"/>
        <w:numPr>
          <w:ilvl w:val="0"/>
          <w:numId w:val="34"/>
        </w:numPr>
        <w:tabs>
          <w:tab w:val="left" w:pos="426"/>
        </w:tabs>
        <w:snapToGrid w:val="0"/>
        <w:spacing w:after="120"/>
        <w:contextualSpacing w:val="0"/>
        <w:jc w:val="left"/>
        <w:rPr>
          <w:rFonts w:cs="Arial"/>
          <w:color w:val="000000" w:themeColor="text1"/>
          <w:sz w:val="24"/>
        </w:rPr>
      </w:pPr>
      <w:r w:rsidRPr="00812694">
        <w:rPr>
          <w:rFonts w:cs="Arial"/>
          <w:color w:val="000000" w:themeColor="text1"/>
          <w:sz w:val="24"/>
        </w:rPr>
        <w:t xml:space="preserve"> </w:t>
      </w:r>
      <w:r w:rsidR="00370331" w:rsidRPr="00812694">
        <w:rPr>
          <w:rFonts w:cs="Arial"/>
          <w:color w:val="000000" w:themeColor="text1"/>
          <w:sz w:val="24"/>
        </w:rPr>
        <w:t>Giving back to our city</w:t>
      </w:r>
    </w:p>
    <w:p w14:paraId="4D74C0D2" w14:textId="0A7E42E7" w:rsidR="007123B6" w:rsidRPr="00812694" w:rsidRDefault="00E1000F" w:rsidP="00812694">
      <w:pPr>
        <w:pStyle w:val="ListParagraph"/>
        <w:numPr>
          <w:ilvl w:val="0"/>
          <w:numId w:val="34"/>
        </w:numPr>
        <w:tabs>
          <w:tab w:val="left" w:pos="426"/>
        </w:tabs>
        <w:snapToGrid w:val="0"/>
        <w:spacing w:after="120"/>
        <w:contextualSpacing w:val="0"/>
        <w:jc w:val="left"/>
        <w:rPr>
          <w:rFonts w:cs="Arial"/>
          <w:color w:val="000000" w:themeColor="text1"/>
          <w:sz w:val="24"/>
        </w:rPr>
      </w:pPr>
      <w:r w:rsidRPr="00812694">
        <w:rPr>
          <w:rFonts w:cs="Arial"/>
          <w:color w:val="000000" w:themeColor="text1"/>
          <w:sz w:val="24"/>
        </w:rPr>
        <w:t xml:space="preserve"> </w:t>
      </w:r>
      <w:r w:rsidR="00370331" w:rsidRPr="00812694">
        <w:rPr>
          <w:rFonts w:cs="Arial"/>
          <w:color w:val="000000" w:themeColor="text1"/>
          <w:sz w:val="24"/>
        </w:rPr>
        <w:t>Managed growth and diversification</w:t>
      </w:r>
    </w:p>
    <w:p w14:paraId="4DC6EF78" w14:textId="28D9567C" w:rsidR="007123B6" w:rsidRPr="00812694" w:rsidRDefault="00E1000F" w:rsidP="00812694">
      <w:pPr>
        <w:pStyle w:val="ListParagraph"/>
        <w:numPr>
          <w:ilvl w:val="0"/>
          <w:numId w:val="34"/>
        </w:numPr>
        <w:tabs>
          <w:tab w:val="left" w:pos="426"/>
        </w:tabs>
        <w:snapToGrid w:val="0"/>
        <w:spacing w:after="120"/>
        <w:contextualSpacing w:val="0"/>
        <w:jc w:val="left"/>
        <w:rPr>
          <w:rFonts w:cs="Arial"/>
          <w:color w:val="000000" w:themeColor="text1"/>
          <w:sz w:val="24"/>
        </w:rPr>
      </w:pPr>
      <w:r w:rsidRPr="00812694">
        <w:rPr>
          <w:rFonts w:cs="Arial"/>
          <w:color w:val="000000" w:themeColor="text1"/>
          <w:sz w:val="24"/>
        </w:rPr>
        <w:t xml:space="preserve"> </w:t>
      </w:r>
      <w:r w:rsidR="00370331" w:rsidRPr="00812694">
        <w:rPr>
          <w:rFonts w:cs="Arial"/>
          <w:color w:val="000000" w:themeColor="text1"/>
          <w:sz w:val="24"/>
        </w:rPr>
        <w:t>Vibrant campuses and cutting</w:t>
      </w:r>
      <w:r w:rsidR="007123B6" w:rsidRPr="00812694">
        <w:rPr>
          <w:rFonts w:cs="Arial"/>
          <w:color w:val="000000" w:themeColor="text1"/>
          <w:sz w:val="24"/>
        </w:rPr>
        <w:t>-</w:t>
      </w:r>
      <w:r w:rsidR="00370331" w:rsidRPr="00812694">
        <w:rPr>
          <w:rFonts w:cs="Arial"/>
          <w:color w:val="000000" w:themeColor="text1"/>
          <w:sz w:val="24"/>
        </w:rPr>
        <w:t>edge facilities</w:t>
      </w:r>
    </w:p>
    <w:p w14:paraId="4FED973B" w14:textId="03DC03BD" w:rsidR="007123B6" w:rsidRPr="00812694" w:rsidRDefault="00370331" w:rsidP="00812694">
      <w:pPr>
        <w:pStyle w:val="ListParagraph"/>
        <w:numPr>
          <w:ilvl w:val="0"/>
          <w:numId w:val="34"/>
        </w:numPr>
        <w:tabs>
          <w:tab w:val="left" w:pos="426"/>
        </w:tabs>
        <w:snapToGrid w:val="0"/>
        <w:spacing w:after="120"/>
        <w:contextualSpacing w:val="0"/>
        <w:jc w:val="left"/>
        <w:rPr>
          <w:rFonts w:cs="Arial"/>
          <w:color w:val="000000" w:themeColor="text1"/>
          <w:sz w:val="24"/>
        </w:rPr>
      </w:pPr>
      <w:r w:rsidRPr="00812694">
        <w:rPr>
          <w:rFonts w:cs="Arial"/>
          <w:color w:val="000000" w:themeColor="text1"/>
          <w:sz w:val="24"/>
        </w:rPr>
        <w:t>Sustainable finances</w:t>
      </w:r>
    </w:p>
    <w:p w14:paraId="13DF458B" w14:textId="77777777" w:rsidR="007123B6" w:rsidRPr="00220A07" w:rsidRDefault="007123B6" w:rsidP="008D21BA">
      <w:pPr>
        <w:ind w:left="0" w:firstLine="0"/>
        <w:rPr>
          <w:rFonts w:cs="Arial"/>
          <w:b/>
          <w:bCs/>
          <w:sz w:val="24"/>
        </w:rPr>
      </w:pPr>
    </w:p>
    <w:p w14:paraId="30BB4637" w14:textId="3E7A1327" w:rsidR="00A0307B" w:rsidRDefault="00A0307B" w:rsidP="004A0C2A">
      <w:pPr>
        <w:pStyle w:val="ListParagraph"/>
        <w:numPr>
          <w:ilvl w:val="1"/>
          <w:numId w:val="28"/>
        </w:numPr>
        <w:rPr>
          <w:sz w:val="24"/>
          <w:lang w:eastAsia="zh-CN"/>
        </w:rPr>
      </w:pPr>
      <w:r w:rsidRPr="004A0C2A">
        <w:rPr>
          <w:sz w:val="24"/>
          <w:lang w:eastAsia="zh-CN"/>
        </w:rPr>
        <w:t xml:space="preserve">Each of these priorities have targets and milestones and these will be used to identify risks </w:t>
      </w:r>
      <w:r w:rsidR="00F61CBD" w:rsidRPr="004A0C2A">
        <w:rPr>
          <w:sz w:val="24"/>
          <w:lang w:eastAsia="zh-CN"/>
        </w:rPr>
        <w:t>reflected in the Corporate Risk Register</w:t>
      </w:r>
      <w:r w:rsidRPr="004A0C2A">
        <w:rPr>
          <w:sz w:val="24"/>
          <w:lang w:eastAsia="zh-CN"/>
        </w:rPr>
        <w:t>.</w:t>
      </w:r>
    </w:p>
    <w:p w14:paraId="6C3D84D9" w14:textId="77777777" w:rsidR="004A0C2A" w:rsidRPr="004A0C2A" w:rsidRDefault="004A0C2A" w:rsidP="004A0C2A">
      <w:pPr>
        <w:pStyle w:val="ListParagraph"/>
        <w:ind w:left="510" w:firstLine="0"/>
        <w:rPr>
          <w:sz w:val="24"/>
          <w:lang w:eastAsia="zh-CN"/>
        </w:rPr>
      </w:pPr>
    </w:p>
    <w:p w14:paraId="61584601" w14:textId="0F1E7631" w:rsidR="00B31F49" w:rsidRDefault="00A0307B" w:rsidP="004A0C2A">
      <w:pPr>
        <w:pStyle w:val="ListParagraph"/>
        <w:numPr>
          <w:ilvl w:val="1"/>
          <w:numId w:val="28"/>
        </w:numPr>
        <w:rPr>
          <w:sz w:val="24"/>
          <w:lang w:eastAsia="zh-CN"/>
        </w:rPr>
      </w:pPr>
      <w:r w:rsidRPr="004A0C2A">
        <w:rPr>
          <w:sz w:val="24"/>
          <w:lang w:eastAsia="zh-CN"/>
        </w:rPr>
        <w:t>The linking of the institution’s identified risks to the achievement of these priorities provides an opportunity to focus on the major risks and the development and implementation of actions</w:t>
      </w:r>
      <w:r w:rsidR="003A1D1E" w:rsidRPr="004A0C2A">
        <w:rPr>
          <w:sz w:val="24"/>
          <w:lang w:eastAsia="zh-CN"/>
        </w:rPr>
        <w:t>,</w:t>
      </w:r>
      <w:r w:rsidRPr="004A0C2A">
        <w:rPr>
          <w:sz w:val="24"/>
          <w:lang w:eastAsia="zh-CN"/>
        </w:rPr>
        <w:t xml:space="preserve"> thereby enabling the risks to be managed.</w:t>
      </w:r>
    </w:p>
    <w:p w14:paraId="1EA8E4EF" w14:textId="77777777" w:rsidR="004A0C2A" w:rsidRPr="004A0C2A" w:rsidRDefault="004A0C2A" w:rsidP="004A0C2A">
      <w:pPr>
        <w:pStyle w:val="ListParagraph"/>
        <w:ind w:left="510" w:firstLine="0"/>
        <w:rPr>
          <w:sz w:val="24"/>
          <w:lang w:eastAsia="zh-CN"/>
        </w:rPr>
      </w:pPr>
    </w:p>
    <w:p w14:paraId="60C8D7EC" w14:textId="3A03817E" w:rsidR="003A2004" w:rsidRPr="004A0C2A" w:rsidRDefault="000F3602" w:rsidP="004A0C2A">
      <w:pPr>
        <w:pStyle w:val="ListParagraph"/>
        <w:numPr>
          <w:ilvl w:val="1"/>
          <w:numId w:val="28"/>
        </w:numPr>
        <w:rPr>
          <w:sz w:val="24"/>
          <w:lang w:eastAsia="zh-CN"/>
        </w:rPr>
      </w:pPr>
      <w:r w:rsidRPr="004A0C2A">
        <w:rPr>
          <w:sz w:val="24"/>
          <w:lang w:eastAsia="zh-CN"/>
        </w:rPr>
        <w:t xml:space="preserve">The overall owner of risks will be the relevant Senior Leadership Team member (for risks in the Corporate Risk Register) or Director/Head of School (in the case of local </w:t>
      </w:r>
      <w:r w:rsidRPr="004A0C2A">
        <w:rPr>
          <w:sz w:val="24"/>
          <w:lang w:eastAsia="zh-CN"/>
        </w:rPr>
        <w:lastRenderedPageBreak/>
        <w:t xml:space="preserve">risk registers).  However, specific risks, with the associated controls, monitoring and management actions required, might be delegated to other staff and </w:t>
      </w:r>
      <w:proofErr w:type="gramStart"/>
      <w:r w:rsidRPr="004A0C2A">
        <w:rPr>
          <w:sz w:val="24"/>
          <w:lang w:eastAsia="zh-CN"/>
        </w:rPr>
        <w:t>in particular to</w:t>
      </w:r>
      <w:proofErr w:type="gramEnd"/>
      <w:r w:rsidRPr="004A0C2A">
        <w:rPr>
          <w:sz w:val="24"/>
          <w:lang w:eastAsia="zh-CN"/>
        </w:rPr>
        <w:t xml:space="preserve"> a dedicated project manager.  The member of staff concerned should be identified as the risk owner for that risk.  The Senior Leadership Team member or Director/Head of School will be responsible for ensuring that management actions are completed by the agreed date and for reviewing the actions taken to keep risk at a tolerable level.  Any risks which move from ‘yellow’ to ‘red’ should be immediately reported to the relevant Senior Leadership Team member or Director/Head of School. </w:t>
      </w:r>
    </w:p>
    <w:p w14:paraId="74F148AB" w14:textId="77777777" w:rsidR="00B31F49" w:rsidRPr="00220A07" w:rsidRDefault="00B31F49" w:rsidP="0068196F">
      <w:pPr>
        <w:tabs>
          <w:tab w:val="left" w:pos="426"/>
        </w:tabs>
        <w:ind w:left="426" w:hanging="568"/>
        <w:rPr>
          <w:rFonts w:cs="Arial"/>
          <w:sz w:val="24"/>
          <w:lang w:eastAsia="zh-CN"/>
        </w:rPr>
      </w:pPr>
    </w:p>
    <w:p w14:paraId="71400064" w14:textId="68663972" w:rsidR="002945E0" w:rsidRPr="00AE7D81" w:rsidRDefault="002945E0" w:rsidP="00B2621A">
      <w:pPr>
        <w:pStyle w:val="Heading1"/>
        <w:numPr>
          <w:ilvl w:val="0"/>
          <w:numId w:val="28"/>
        </w:numPr>
      </w:pPr>
      <w:r w:rsidRPr="00AE7D81">
        <w:t>Risk Cause and Consequence</w:t>
      </w:r>
    </w:p>
    <w:p w14:paraId="1A64653E" w14:textId="77777777" w:rsidR="00B31F49" w:rsidRPr="00220A07" w:rsidRDefault="00B31F49" w:rsidP="0068196F">
      <w:pPr>
        <w:shd w:val="clear" w:color="auto" w:fill="FFFFFF"/>
        <w:tabs>
          <w:tab w:val="left" w:pos="426"/>
        </w:tabs>
        <w:spacing w:before="100" w:beforeAutospacing="1" w:after="100" w:afterAutospacing="1" w:line="270" w:lineRule="atLeast"/>
        <w:ind w:left="426" w:firstLine="0"/>
        <w:jc w:val="left"/>
        <w:rPr>
          <w:rFonts w:cs="Arial"/>
          <w:sz w:val="24"/>
          <w:lang w:eastAsia="zh-CN"/>
        </w:rPr>
      </w:pPr>
      <w:r w:rsidRPr="00220A07">
        <w:rPr>
          <w:rFonts w:cs="Arial"/>
          <w:sz w:val="24"/>
          <w:lang w:eastAsia="zh-CN"/>
        </w:rPr>
        <w:t>The </w:t>
      </w:r>
      <w:r w:rsidRPr="00220A07">
        <w:rPr>
          <w:rFonts w:cs="Arial"/>
          <w:b/>
          <w:sz w:val="24"/>
          <w:lang w:eastAsia="zh-CN"/>
        </w:rPr>
        <w:t>Risk Cause</w:t>
      </w:r>
      <w:r w:rsidRPr="00220A07">
        <w:rPr>
          <w:rFonts w:cs="Arial"/>
          <w:sz w:val="24"/>
          <w:lang w:eastAsia="zh-CN"/>
        </w:rPr>
        <w:t>: describes project decisions or conditions that may give rise to the Risk Event.  This provides context information about the risk.</w:t>
      </w:r>
    </w:p>
    <w:p w14:paraId="34B6BBA2" w14:textId="0E1254F5" w:rsidR="00B31F49" w:rsidRPr="00220A07" w:rsidRDefault="00B31F49" w:rsidP="0068196F">
      <w:pPr>
        <w:tabs>
          <w:tab w:val="left" w:pos="426"/>
        </w:tabs>
        <w:ind w:left="426" w:firstLine="0"/>
        <w:rPr>
          <w:rFonts w:cs="Arial"/>
          <w:sz w:val="24"/>
          <w:lang w:eastAsia="zh-CN"/>
        </w:rPr>
      </w:pPr>
      <w:r w:rsidRPr="00220A07">
        <w:rPr>
          <w:rFonts w:cs="Arial"/>
          <w:sz w:val="24"/>
          <w:lang w:eastAsia="zh-CN"/>
        </w:rPr>
        <w:t>The </w:t>
      </w:r>
      <w:r w:rsidRPr="00220A07">
        <w:rPr>
          <w:rFonts w:cs="Arial"/>
          <w:b/>
          <w:bCs/>
          <w:sz w:val="24"/>
          <w:lang w:eastAsia="zh-CN"/>
        </w:rPr>
        <w:t>Risk Consequence</w:t>
      </w:r>
      <w:r w:rsidRPr="00220A07">
        <w:rPr>
          <w:rFonts w:cs="Arial"/>
          <w:sz w:val="24"/>
          <w:lang w:eastAsia="zh-CN"/>
        </w:rPr>
        <w:t>: the anticipated effects on the project’s ability to execute planned activities and successfully achieve its objectives</w:t>
      </w:r>
    </w:p>
    <w:p w14:paraId="7051F8F8" w14:textId="13C92441" w:rsidR="00B31F49" w:rsidRPr="00220A07" w:rsidRDefault="00B31F49" w:rsidP="0068196F">
      <w:pPr>
        <w:tabs>
          <w:tab w:val="left" w:pos="426"/>
        </w:tabs>
        <w:ind w:left="426" w:firstLine="0"/>
        <w:rPr>
          <w:rFonts w:cs="Arial"/>
          <w:color w:val="333333"/>
          <w:sz w:val="24"/>
          <w:shd w:val="clear" w:color="auto" w:fill="FFFFFF"/>
        </w:rPr>
      </w:pPr>
    </w:p>
    <w:p w14:paraId="2680834B" w14:textId="15929AE2" w:rsidR="00B31F49" w:rsidRPr="00AE7D81" w:rsidRDefault="00B31F49" w:rsidP="00B2621A">
      <w:pPr>
        <w:pStyle w:val="Heading1"/>
        <w:numPr>
          <w:ilvl w:val="0"/>
          <w:numId w:val="28"/>
        </w:numPr>
      </w:pPr>
      <w:r w:rsidRPr="00AE7D81">
        <w:t>Gross risk</w:t>
      </w:r>
    </w:p>
    <w:p w14:paraId="3D6A7ADB" w14:textId="0FD4FAF1" w:rsidR="00B31F49" w:rsidRPr="00220A07" w:rsidRDefault="00B31F49" w:rsidP="008D21BA">
      <w:pPr>
        <w:ind w:left="426" w:firstLine="0"/>
        <w:rPr>
          <w:rFonts w:cs="Arial"/>
          <w:sz w:val="24"/>
          <w:lang w:eastAsia="zh-CN"/>
        </w:rPr>
      </w:pPr>
      <w:r w:rsidRPr="00220A07">
        <w:rPr>
          <w:rFonts w:cs="Arial"/>
          <w:color w:val="202124"/>
          <w:sz w:val="24"/>
          <w:shd w:val="clear" w:color="auto" w:fill="FFFFFF"/>
        </w:rPr>
        <w:t>The level of </w:t>
      </w:r>
      <w:r w:rsidRPr="00220A07">
        <w:rPr>
          <w:rFonts w:cs="Arial"/>
          <w:b/>
          <w:bCs/>
          <w:color w:val="202124"/>
          <w:sz w:val="24"/>
          <w:shd w:val="clear" w:color="auto" w:fill="FFFFFF"/>
        </w:rPr>
        <w:t>risk</w:t>
      </w:r>
      <w:r w:rsidRPr="00220A07">
        <w:rPr>
          <w:rFonts w:cs="Arial"/>
          <w:color w:val="202124"/>
          <w:sz w:val="24"/>
          <w:shd w:val="clear" w:color="auto" w:fill="FFFFFF"/>
        </w:rPr>
        <w:t> faced by the University before any internal controls are applied.</w:t>
      </w:r>
    </w:p>
    <w:p w14:paraId="43A3C53B" w14:textId="15D609D6" w:rsidR="002945E0" w:rsidRPr="00220A07" w:rsidRDefault="002945E0" w:rsidP="008D21BA">
      <w:pPr>
        <w:ind w:left="0" w:firstLine="0"/>
        <w:rPr>
          <w:rFonts w:cs="Arial"/>
          <w:sz w:val="24"/>
          <w:lang w:eastAsia="zh-CN"/>
        </w:rPr>
      </w:pPr>
    </w:p>
    <w:p w14:paraId="00C59177" w14:textId="66B5A4F8" w:rsidR="00221406" w:rsidRPr="0061790E" w:rsidRDefault="00221406" w:rsidP="0061790E">
      <w:pPr>
        <w:pStyle w:val="ListParagraph"/>
        <w:tabs>
          <w:tab w:val="left" w:pos="426"/>
        </w:tabs>
        <w:snapToGrid w:val="0"/>
        <w:spacing w:after="120"/>
        <w:ind w:left="426" w:firstLine="0"/>
        <w:contextualSpacing w:val="0"/>
        <w:jc w:val="left"/>
        <w:rPr>
          <w:rFonts w:cs="Arial"/>
          <w:sz w:val="24"/>
        </w:rPr>
      </w:pPr>
      <w:r w:rsidRPr="0061790E">
        <w:rPr>
          <w:rFonts w:cs="Arial"/>
          <w:sz w:val="24"/>
        </w:rPr>
        <w:t xml:space="preserve">A judgement based upon the experience and knowledge of staff should be made to provide a </w:t>
      </w:r>
      <w:r w:rsidR="00B31F49" w:rsidRPr="0061790E">
        <w:rPr>
          <w:rFonts w:cs="Arial"/>
          <w:sz w:val="24"/>
        </w:rPr>
        <w:t>gross risk</w:t>
      </w:r>
      <w:r w:rsidRPr="0061790E">
        <w:rPr>
          <w:rFonts w:cs="Arial"/>
          <w:sz w:val="24"/>
        </w:rPr>
        <w:t xml:space="preserve"> score</w:t>
      </w:r>
    </w:p>
    <w:p w14:paraId="366A42F8" w14:textId="043F9FEE" w:rsidR="00AE691E" w:rsidRPr="00220A07" w:rsidRDefault="00AE691E" w:rsidP="0068196F">
      <w:pPr>
        <w:pStyle w:val="ListParagraph"/>
        <w:tabs>
          <w:tab w:val="left" w:pos="426"/>
        </w:tabs>
        <w:snapToGrid w:val="0"/>
        <w:spacing w:after="120"/>
        <w:ind w:left="426" w:firstLine="0"/>
        <w:contextualSpacing w:val="0"/>
        <w:jc w:val="left"/>
        <w:rPr>
          <w:rFonts w:cs="Arial"/>
          <w:sz w:val="24"/>
          <w:u w:val="single"/>
        </w:rPr>
      </w:pPr>
      <w:r w:rsidRPr="00220A07">
        <w:rPr>
          <w:rFonts w:cs="Arial"/>
          <w:sz w:val="24"/>
          <w:u w:val="single"/>
        </w:rPr>
        <w:t>Likelihood of occurrence</w:t>
      </w:r>
      <w:r w:rsidR="003B2A2A" w:rsidRPr="00220A07">
        <w:rPr>
          <w:rFonts w:cs="Arial"/>
          <w:sz w:val="24"/>
        </w:rPr>
        <w:t xml:space="preserve"> (‘L’</w:t>
      </w:r>
      <w:r w:rsidRPr="00220A07">
        <w:rPr>
          <w:rFonts w:cs="Arial"/>
          <w:sz w:val="24"/>
        </w:rPr>
        <w:t>) should be graded on a scale of 1 to 5 (rare/ unlikely/ poss</w:t>
      </w:r>
      <w:r w:rsidR="00DD75AB" w:rsidRPr="00220A07">
        <w:rPr>
          <w:rFonts w:cs="Arial"/>
          <w:sz w:val="24"/>
        </w:rPr>
        <w:t xml:space="preserve">ible/ likely/ almost certain). </w:t>
      </w:r>
    </w:p>
    <w:p w14:paraId="2597FB8A" w14:textId="248C1E77" w:rsidR="00AE691E" w:rsidRPr="00220A07" w:rsidRDefault="00AE691E" w:rsidP="0068196F">
      <w:pPr>
        <w:tabs>
          <w:tab w:val="left" w:pos="426"/>
          <w:tab w:val="left" w:pos="709"/>
        </w:tabs>
        <w:snapToGrid w:val="0"/>
        <w:spacing w:after="120"/>
        <w:ind w:left="426" w:firstLine="0"/>
        <w:jc w:val="left"/>
        <w:rPr>
          <w:rFonts w:cs="Arial"/>
          <w:sz w:val="24"/>
        </w:rPr>
      </w:pPr>
      <w:r w:rsidRPr="00220A07">
        <w:rPr>
          <w:rFonts w:cs="Arial"/>
          <w:sz w:val="24"/>
          <w:u w:val="single"/>
        </w:rPr>
        <w:t>Severity of impact</w:t>
      </w:r>
      <w:r w:rsidR="00B31F49" w:rsidRPr="00220A07">
        <w:rPr>
          <w:rFonts w:cs="Arial"/>
          <w:sz w:val="24"/>
        </w:rPr>
        <w:t xml:space="preserve"> (‘I</w:t>
      </w:r>
      <w:r w:rsidR="003B2A2A" w:rsidRPr="00220A07">
        <w:rPr>
          <w:rFonts w:cs="Arial"/>
          <w:sz w:val="24"/>
        </w:rPr>
        <w:t>’</w:t>
      </w:r>
      <w:r w:rsidRPr="00220A07">
        <w:rPr>
          <w:rFonts w:cs="Arial"/>
          <w:sz w:val="24"/>
        </w:rPr>
        <w:t>) should be graded on a scale of 1 to 5 (insignificant/ minor/ moderate</w:t>
      </w:r>
      <w:r w:rsidR="00DD75AB" w:rsidRPr="00220A07">
        <w:rPr>
          <w:rFonts w:cs="Arial"/>
          <w:sz w:val="24"/>
        </w:rPr>
        <w:t xml:space="preserve">/ major/ catastrophic).  </w:t>
      </w:r>
    </w:p>
    <w:p w14:paraId="6B98BC45" w14:textId="454DC220" w:rsidR="0066144E" w:rsidRPr="00220A07" w:rsidRDefault="003B2A2A" w:rsidP="0068196F">
      <w:pPr>
        <w:tabs>
          <w:tab w:val="left" w:pos="426"/>
          <w:tab w:val="left" w:pos="709"/>
        </w:tabs>
        <w:snapToGrid w:val="0"/>
        <w:spacing w:after="120"/>
        <w:ind w:left="426" w:firstLine="0"/>
        <w:jc w:val="left"/>
        <w:rPr>
          <w:rFonts w:cs="Arial"/>
          <w:sz w:val="24"/>
        </w:rPr>
      </w:pPr>
      <w:r w:rsidRPr="00220A07">
        <w:rPr>
          <w:rFonts w:cs="Arial"/>
          <w:sz w:val="24"/>
        </w:rPr>
        <w:t xml:space="preserve">The </w:t>
      </w:r>
      <w:r w:rsidR="00B31F49" w:rsidRPr="00220A07">
        <w:rPr>
          <w:rFonts w:cs="Arial"/>
          <w:sz w:val="24"/>
        </w:rPr>
        <w:t>gross</w:t>
      </w:r>
      <w:r w:rsidRPr="00220A07">
        <w:rPr>
          <w:rFonts w:cs="Arial"/>
          <w:sz w:val="24"/>
        </w:rPr>
        <w:t xml:space="preserve"> risk score (‘</w:t>
      </w:r>
      <w:proofErr w:type="spellStart"/>
      <w:r w:rsidR="00B31F49" w:rsidRPr="00220A07">
        <w:rPr>
          <w:rFonts w:cs="Arial"/>
          <w:sz w:val="24"/>
        </w:rPr>
        <w:t>IxL</w:t>
      </w:r>
      <w:proofErr w:type="spellEnd"/>
      <w:r w:rsidRPr="00220A07">
        <w:rPr>
          <w:rFonts w:cs="Arial"/>
          <w:sz w:val="24"/>
        </w:rPr>
        <w:t>’</w:t>
      </w:r>
      <w:r w:rsidR="00AE691E" w:rsidRPr="00220A07">
        <w:rPr>
          <w:rFonts w:cs="Arial"/>
          <w:sz w:val="24"/>
        </w:rPr>
        <w:t xml:space="preserve">) is calculated by multiplying the </w:t>
      </w:r>
      <w:r w:rsidR="00AE691E" w:rsidRPr="00220A07">
        <w:rPr>
          <w:rFonts w:cs="Arial"/>
          <w:sz w:val="24"/>
          <w:u w:val="single"/>
        </w:rPr>
        <w:t>likelihood of occurrence</w:t>
      </w:r>
      <w:r w:rsidR="00AE691E" w:rsidRPr="00220A07">
        <w:rPr>
          <w:rFonts w:cs="Arial"/>
          <w:sz w:val="24"/>
        </w:rPr>
        <w:t xml:space="preserve"> and </w:t>
      </w:r>
      <w:r w:rsidR="00AE691E" w:rsidRPr="00220A07">
        <w:rPr>
          <w:rFonts w:cs="Arial"/>
          <w:sz w:val="24"/>
          <w:u w:val="single"/>
        </w:rPr>
        <w:t>severity of impact</w:t>
      </w:r>
      <w:r w:rsidRPr="00220A07">
        <w:rPr>
          <w:rFonts w:cs="Arial"/>
          <w:sz w:val="24"/>
        </w:rPr>
        <w:t xml:space="preserve"> scores.</w:t>
      </w:r>
    </w:p>
    <w:p w14:paraId="531D27DB" w14:textId="77777777" w:rsidR="00A013FB" w:rsidRPr="00220A07" w:rsidRDefault="00A013FB" w:rsidP="0068196F">
      <w:pPr>
        <w:tabs>
          <w:tab w:val="left" w:pos="426"/>
          <w:tab w:val="left" w:pos="709"/>
        </w:tabs>
        <w:snapToGrid w:val="0"/>
        <w:spacing w:after="120"/>
        <w:ind w:left="0" w:firstLine="0"/>
        <w:jc w:val="left"/>
        <w:rPr>
          <w:rFonts w:cs="Arial"/>
          <w:sz w:val="24"/>
        </w:rPr>
      </w:pPr>
    </w:p>
    <w:p w14:paraId="68BF31AC" w14:textId="6A591DF9" w:rsidR="004A0C2A" w:rsidRPr="004A0C2A" w:rsidRDefault="00900E60" w:rsidP="0061790E">
      <w:pPr>
        <w:pStyle w:val="ListParagraph"/>
        <w:numPr>
          <w:ilvl w:val="1"/>
          <w:numId w:val="5"/>
        </w:numPr>
        <w:tabs>
          <w:tab w:val="left" w:pos="709"/>
        </w:tabs>
        <w:spacing w:line="240" w:lineRule="auto"/>
        <w:jc w:val="left"/>
        <w:rPr>
          <w:lang w:eastAsia="zh-CN"/>
        </w:rPr>
      </w:pPr>
      <w:r w:rsidRPr="0061790E">
        <w:rPr>
          <w:rFonts w:cs="Arial"/>
          <w:color w:val="000000" w:themeColor="text1"/>
          <w:sz w:val="24"/>
        </w:rPr>
        <w:t xml:space="preserve">The matrix </w:t>
      </w:r>
      <w:r w:rsidR="00221406" w:rsidRPr="0061790E">
        <w:rPr>
          <w:rFonts w:cs="Arial"/>
          <w:color w:val="000000" w:themeColor="text1"/>
          <w:sz w:val="24"/>
        </w:rPr>
        <w:t xml:space="preserve">used to consider </w:t>
      </w:r>
      <w:proofErr w:type="gramStart"/>
      <w:r w:rsidR="00221406" w:rsidRPr="0061790E">
        <w:rPr>
          <w:rFonts w:cs="Arial"/>
          <w:color w:val="000000" w:themeColor="text1"/>
          <w:sz w:val="24"/>
        </w:rPr>
        <w:t>whether or not</w:t>
      </w:r>
      <w:proofErr w:type="gramEnd"/>
      <w:r w:rsidR="00221406" w:rsidRPr="0061790E">
        <w:rPr>
          <w:rFonts w:cs="Arial"/>
          <w:color w:val="000000" w:themeColor="text1"/>
          <w:sz w:val="24"/>
        </w:rPr>
        <w:t xml:space="preserve"> a risk is </w:t>
      </w:r>
      <w:r w:rsidRPr="0061790E">
        <w:rPr>
          <w:rFonts w:cs="Arial"/>
          <w:color w:val="000000" w:themeColor="text1"/>
          <w:sz w:val="24"/>
        </w:rPr>
        <w:t>at a tolerable level</w:t>
      </w:r>
      <w:r w:rsidR="00221406" w:rsidRPr="0061790E">
        <w:rPr>
          <w:rFonts w:cs="Arial"/>
          <w:color w:val="000000" w:themeColor="text1"/>
          <w:sz w:val="24"/>
        </w:rPr>
        <w:t xml:space="preserve"> is shown below.</w:t>
      </w:r>
      <w:r w:rsidR="0061790E" w:rsidRPr="0061790E">
        <w:rPr>
          <w:rFonts w:cs="Arial"/>
          <w:color w:val="000000" w:themeColor="text1"/>
          <w:sz w:val="24"/>
        </w:rPr>
        <w:br/>
      </w:r>
      <w:r w:rsidR="0061790E" w:rsidRPr="0061790E">
        <w:rPr>
          <w:rFonts w:cs="Arial"/>
          <w:sz w:val="24"/>
        </w:rPr>
        <w:br/>
      </w:r>
      <w:r w:rsidR="0061790E" w:rsidRPr="0061790E">
        <w:rPr>
          <w:rFonts w:cs="Arial"/>
          <w:b/>
          <w:bCs/>
          <w:sz w:val="24"/>
        </w:rPr>
        <w:t>Figure 1: Scoring matrix</w:t>
      </w:r>
      <w:r w:rsidR="0061790E">
        <w:rPr>
          <w:rFonts w:cs="Arial"/>
          <w:b/>
          <w:bCs/>
        </w:rPr>
        <w:br/>
      </w:r>
      <w:r w:rsidR="0061790E">
        <w:rPr>
          <w:rFonts w:cs="Arial"/>
          <w:b/>
          <w:bCs/>
        </w:rPr>
        <w:br/>
      </w:r>
      <w:r w:rsidR="0061790E">
        <w:rPr>
          <w:rFonts w:cs="Arial"/>
          <w:b/>
          <w:bCs/>
        </w:rPr>
        <w:lastRenderedPageBreak/>
        <w:br/>
      </w:r>
      <w:r w:rsidR="0061790E" w:rsidRPr="00220A07">
        <w:rPr>
          <w:rFonts w:cs="Arial"/>
          <w:noProof/>
          <w:sz w:val="24"/>
        </w:rPr>
        <w:drawing>
          <wp:inline distT="0" distB="0" distL="0" distR="0" wp14:anchorId="77DFC9FF" wp14:editId="5F553518">
            <wp:extent cx="5850890" cy="1798320"/>
            <wp:effectExtent l="0" t="0" r="0" b="0"/>
            <wp:docPr id="6" name="Picture 6" descr="Scoring matrix - the picture shows a table with the severity of impact and the likelihood of occu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50890" cy="1798320"/>
                    </a:xfrm>
                    <a:prstGeom prst="rect">
                      <a:avLst/>
                    </a:prstGeom>
                  </pic:spPr>
                </pic:pic>
              </a:graphicData>
            </a:graphic>
          </wp:inline>
        </w:drawing>
      </w:r>
      <w:r w:rsidR="0061790E" w:rsidRPr="0061790E">
        <w:rPr>
          <w:rFonts w:cs="Arial"/>
        </w:rPr>
        <w:t xml:space="preserve"> </w:t>
      </w:r>
      <w:r w:rsidR="00221406" w:rsidRPr="004A0C2A">
        <w:rPr>
          <w:rFonts w:cs="Arial"/>
        </w:rPr>
        <w:t xml:space="preserve"> </w:t>
      </w:r>
    </w:p>
    <w:p w14:paraId="1C86AAF0" w14:textId="77777777" w:rsidR="00E443C0" w:rsidRPr="0061790E" w:rsidRDefault="00E443C0" w:rsidP="0061790E">
      <w:pPr>
        <w:tabs>
          <w:tab w:val="left" w:pos="426"/>
          <w:tab w:val="left" w:pos="709"/>
        </w:tabs>
        <w:snapToGrid w:val="0"/>
        <w:spacing w:after="120"/>
        <w:ind w:left="0" w:firstLine="0"/>
        <w:jc w:val="left"/>
        <w:rPr>
          <w:rFonts w:cs="Arial"/>
          <w:sz w:val="24"/>
        </w:rPr>
      </w:pPr>
    </w:p>
    <w:p w14:paraId="4264B1A7" w14:textId="2C0E89E8" w:rsidR="00A013FB" w:rsidRPr="00220A07" w:rsidRDefault="00A013FB" w:rsidP="0059544B">
      <w:pPr>
        <w:pStyle w:val="ListParagraph"/>
        <w:numPr>
          <w:ilvl w:val="1"/>
          <w:numId w:val="5"/>
        </w:numPr>
        <w:tabs>
          <w:tab w:val="left" w:pos="709"/>
        </w:tabs>
        <w:spacing w:line="240" w:lineRule="auto"/>
        <w:jc w:val="left"/>
        <w:rPr>
          <w:rFonts w:cs="Arial"/>
          <w:b/>
          <w:color w:val="000000" w:themeColor="text1"/>
          <w:sz w:val="24"/>
        </w:rPr>
      </w:pPr>
      <w:r w:rsidRPr="00220A07">
        <w:rPr>
          <w:rFonts w:cs="Arial"/>
          <w:color w:val="000000" w:themeColor="text1"/>
          <w:sz w:val="24"/>
        </w:rPr>
        <w:t>Risk score is calculated using two elements: the likelihood of occurrence and the impact of the risk occurring. Risk owners are responsible for determining the likelihood and impact of the risk, using the guidelines below.</w:t>
      </w:r>
    </w:p>
    <w:p w14:paraId="2C003680" w14:textId="77777777" w:rsidR="00A013FB" w:rsidRPr="00220A07" w:rsidRDefault="00A013FB" w:rsidP="0068196F">
      <w:pPr>
        <w:spacing w:line="240" w:lineRule="auto"/>
        <w:ind w:left="426"/>
        <w:rPr>
          <w:rFonts w:cs="Arial"/>
          <w:color w:val="000000" w:themeColor="text1"/>
          <w:sz w:val="24"/>
        </w:rPr>
      </w:pPr>
    </w:p>
    <w:p w14:paraId="1F379662" w14:textId="06E8BA42" w:rsidR="00A013FB" w:rsidRPr="00220A07" w:rsidRDefault="00A013FB" w:rsidP="0068196F">
      <w:pPr>
        <w:spacing w:line="240" w:lineRule="auto"/>
        <w:ind w:left="-142" w:firstLine="0"/>
        <w:rPr>
          <w:rFonts w:cs="Arial"/>
          <w:color w:val="000000" w:themeColor="text1"/>
          <w:sz w:val="24"/>
        </w:rPr>
      </w:pPr>
      <w:r w:rsidRPr="00220A07">
        <w:rPr>
          <w:rFonts w:cs="Arial"/>
          <w:color w:val="000000" w:themeColor="text1"/>
          <w:sz w:val="24"/>
        </w:rPr>
        <w:t>Table 1: Likelihood scoring matrix</w:t>
      </w:r>
    </w:p>
    <w:p w14:paraId="293E294E" w14:textId="77777777" w:rsidR="00526FAD" w:rsidRPr="00220A07" w:rsidRDefault="00526FAD" w:rsidP="00A013FB">
      <w:pPr>
        <w:spacing w:line="240" w:lineRule="auto"/>
        <w:ind w:hanging="1134"/>
        <w:rPr>
          <w:rFonts w:cs="Arial"/>
          <w:color w:val="000000" w:themeColor="text1"/>
          <w:sz w:val="24"/>
        </w:rPr>
      </w:pPr>
    </w:p>
    <w:tbl>
      <w:tblPr>
        <w:tblStyle w:val="TableGrid5"/>
        <w:tblW w:w="9640" w:type="dxa"/>
        <w:tblInd w:w="-147" w:type="dxa"/>
        <w:tblLook w:val="04A0" w:firstRow="1" w:lastRow="0" w:firstColumn="1" w:lastColumn="0" w:noHBand="0" w:noVBand="1"/>
        <w:tblCaption w:val="Likelihood scoring matrix"/>
        <w:tblDescription w:val="The table has 3 columns, one with the likelihood term, the second one with the measure and the third one with the score"/>
      </w:tblPr>
      <w:tblGrid>
        <w:gridCol w:w="3080"/>
        <w:gridCol w:w="4292"/>
        <w:gridCol w:w="2268"/>
      </w:tblGrid>
      <w:tr w:rsidR="0068196F" w:rsidRPr="00220A07" w14:paraId="0FF3B077" w14:textId="77777777" w:rsidTr="0068196F">
        <w:tc>
          <w:tcPr>
            <w:tcW w:w="3080" w:type="dxa"/>
            <w:shd w:val="clear" w:color="auto" w:fill="95B3D7"/>
          </w:tcPr>
          <w:p w14:paraId="31E801EA"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Likelihood term</w:t>
            </w:r>
          </w:p>
          <w:p w14:paraId="2C9E3830" w14:textId="77777777" w:rsidR="00526FAD" w:rsidRPr="00220A07" w:rsidRDefault="00526FAD" w:rsidP="00526FAD">
            <w:pPr>
              <w:rPr>
                <w:rFonts w:eastAsia="SimSun"/>
                <w:color w:val="000000" w:themeColor="text1"/>
                <w:sz w:val="24"/>
              </w:rPr>
            </w:pPr>
          </w:p>
        </w:tc>
        <w:tc>
          <w:tcPr>
            <w:tcW w:w="4292" w:type="dxa"/>
            <w:shd w:val="clear" w:color="auto" w:fill="95B3D7"/>
          </w:tcPr>
          <w:p w14:paraId="4CDE5C88"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Measure</w:t>
            </w:r>
          </w:p>
        </w:tc>
        <w:tc>
          <w:tcPr>
            <w:tcW w:w="2268" w:type="dxa"/>
            <w:shd w:val="clear" w:color="auto" w:fill="95B3D7"/>
          </w:tcPr>
          <w:p w14:paraId="0990B81C"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Score</w:t>
            </w:r>
          </w:p>
        </w:tc>
      </w:tr>
      <w:tr w:rsidR="0068196F" w:rsidRPr="00220A07" w14:paraId="40CBDC47" w14:textId="77777777" w:rsidTr="0068196F">
        <w:tc>
          <w:tcPr>
            <w:tcW w:w="3080" w:type="dxa"/>
          </w:tcPr>
          <w:p w14:paraId="12C571BE"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Rare</w:t>
            </w:r>
          </w:p>
        </w:tc>
        <w:tc>
          <w:tcPr>
            <w:tcW w:w="4292" w:type="dxa"/>
          </w:tcPr>
          <w:p w14:paraId="3BA93574"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Almost certain not to happen</w:t>
            </w:r>
          </w:p>
        </w:tc>
        <w:tc>
          <w:tcPr>
            <w:tcW w:w="2268" w:type="dxa"/>
          </w:tcPr>
          <w:p w14:paraId="65747C27"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1</w:t>
            </w:r>
          </w:p>
        </w:tc>
      </w:tr>
      <w:tr w:rsidR="0068196F" w:rsidRPr="00220A07" w14:paraId="67311D67" w14:textId="77777777" w:rsidTr="0068196F">
        <w:tc>
          <w:tcPr>
            <w:tcW w:w="3080" w:type="dxa"/>
          </w:tcPr>
          <w:p w14:paraId="67CE7026"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Unlikely</w:t>
            </w:r>
          </w:p>
        </w:tc>
        <w:tc>
          <w:tcPr>
            <w:tcW w:w="4292" w:type="dxa"/>
          </w:tcPr>
          <w:p w14:paraId="75B15245"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Less than 50/50</w:t>
            </w:r>
          </w:p>
        </w:tc>
        <w:tc>
          <w:tcPr>
            <w:tcW w:w="2268" w:type="dxa"/>
          </w:tcPr>
          <w:p w14:paraId="2EAE138F"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2</w:t>
            </w:r>
          </w:p>
        </w:tc>
      </w:tr>
      <w:tr w:rsidR="0068196F" w:rsidRPr="00220A07" w14:paraId="55CB9A01" w14:textId="77777777" w:rsidTr="0068196F">
        <w:tc>
          <w:tcPr>
            <w:tcW w:w="3080" w:type="dxa"/>
          </w:tcPr>
          <w:p w14:paraId="6241EB0E"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Possible</w:t>
            </w:r>
          </w:p>
        </w:tc>
        <w:tc>
          <w:tcPr>
            <w:tcW w:w="4292" w:type="dxa"/>
          </w:tcPr>
          <w:p w14:paraId="15E374D8"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50/50</w:t>
            </w:r>
          </w:p>
        </w:tc>
        <w:tc>
          <w:tcPr>
            <w:tcW w:w="2268" w:type="dxa"/>
          </w:tcPr>
          <w:p w14:paraId="52064681"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3</w:t>
            </w:r>
          </w:p>
        </w:tc>
      </w:tr>
      <w:tr w:rsidR="0068196F" w:rsidRPr="00220A07" w14:paraId="7980404F" w14:textId="77777777" w:rsidTr="0068196F">
        <w:tc>
          <w:tcPr>
            <w:tcW w:w="3080" w:type="dxa"/>
          </w:tcPr>
          <w:p w14:paraId="7EDFFBB7"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Likely</w:t>
            </w:r>
          </w:p>
        </w:tc>
        <w:tc>
          <w:tcPr>
            <w:tcW w:w="4292" w:type="dxa"/>
          </w:tcPr>
          <w:p w14:paraId="71C89623"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More than 50/50</w:t>
            </w:r>
          </w:p>
        </w:tc>
        <w:tc>
          <w:tcPr>
            <w:tcW w:w="2268" w:type="dxa"/>
          </w:tcPr>
          <w:p w14:paraId="3734A3E4"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4</w:t>
            </w:r>
          </w:p>
        </w:tc>
      </w:tr>
      <w:tr w:rsidR="0068196F" w:rsidRPr="00220A07" w14:paraId="57DAFB54" w14:textId="77777777" w:rsidTr="0068196F">
        <w:tc>
          <w:tcPr>
            <w:tcW w:w="3080" w:type="dxa"/>
          </w:tcPr>
          <w:p w14:paraId="483018C6"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Almost certain</w:t>
            </w:r>
          </w:p>
        </w:tc>
        <w:tc>
          <w:tcPr>
            <w:tcW w:w="4292" w:type="dxa"/>
          </w:tcPr>
          <w:p w14:paraId="78334A5B"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Almost certain to happen</w:t>
            </w:r>
          </w:p>
        </w:tc>
        <w:tc>
          <w:tcPr>
            <w:tcW w:w="2268" w:type="dxa"/>
          </w:tcPr>
          <w:p w14:paraId="62B86A82"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5</w:t>
            </w:r>
          </w:p>
        </w:tc>
      </w:tr>
    </w:tbl>
    <w:p w14:paraId="0A0023D1" w14:textId="2D3409DE" w:rsidR="00526FAD" w:rsidRPr="00220A07" w:rsidRDefault="00526FAD" w:rsidP="00630902">
      <w:pPr>
        <w:spacing w:line="240" w:lineRule="auto"/>
        <w:ind w:left="0" w:firstLine="0"/>
        <w:rPr>
          <w:rFonts w:cs="Arial"/>
          <w:color w:val="000000" w:themeColor="text1"/>
          <w:sz w:val="24"/>
        </w:rPr>
      </w:pPr>
    </w:p>
    <w:p w14:paraId="3B31465C" w14:textId="77777777" w:rsidR="00AB348B" w:rsidRDefault="00AB348B" w:rsidP="0068196F">
      <w:pPr>
        <w:spacing w:line="240" w:lineRule="auto"/>
        <w:ind w:left="-142" w:firstLine="0"/>
        <w:jc w:val="left"/>
        <w:rPr>
          <w:rFonts w:cs="Arial"/>
          <w:color w:val="000000" w:themeColor="text1"/>
          <w:sz w:val="24"/>
        </w:rPr>
      </w:pPr>
    </w:p>
    <w:p w14:paraId="054D5FBB" w14:textId="27C7E88E" w:rsidR="00A013FB" w:rsidRPr="00220A07" w:rsidRDefault="00A013FB" w:rsidP="0068196F">
      <w:pPr>
        <w:spacing w:line="240" w:lineRule="auto"/>
        <w:ind w:left="-142" w:firstLine="0"/>
        <w:jc w:val="left"/>
        <w:rPr>
          <w:rFonts w:cs="Arial"/>
          <w:color w:val="000000" w:themeColor="text1"/>
          <w:sz w:val="24"/>
        </w:rPr>
      </w:pPr>
      <w:r w:rsidRPr="00220A07">
        <w:rPr>
          <w:rFonts w:cs="Arial"/>
          <w:color w:val="000000" w:themeColor="text1"/>
          <w:sz w:val="24"/>
        </w:rPr>
        <w:t>Table 2: Impact scoring matrix</w:t>
      </w:r>
    </w:p>
    <w:p w14:paraId="7B4910F5" w14:textId="77777777" w:rsidR="00526FAD" w:rsidRPr="00220A07" w:rsidRDefault="00526FAD" w:rsidP="00A013FB">
      <w:pPr>
        <w:spacing w:line="240" w:lineRule="auto"/>
        <w:ind w:hanging="1134"/>
        <w:jc w:val="left"/>
        <w:rPr>
          <w:rFonts w:cs="Arial"/>
          <w:color w:val="000000" w:themeColor="text1"/>
          <w:sz w:val="24"/>
        </w:rPr>
      </w:pPr>
    </w:p>
    <w:tbl>
      <w:tblPr>
        <w:tblStyle w:val="TableGrid4"/>
        <w:tblW w:w="9634" w:type="dxa"/>
        <w:tblInd w:w="-147" w:type="dxa"/>
        <w:tblLook w:val="04A0" w:firstRow="1" w:lastRow="0" w:firstColumn="1" w:lastColumn="0" w:noHBand="0" w:noVBand="1"/>
        <w:tblCaption w:val="Impact scoring matrix"/>
        <w:tblDescription w:val="The table has 5 columns, impact term, score, finances, delivery and stakeholders"/>
      </w:tblPr>
      <w:tblGrid>
        <w:gridCol w:w="2410"/>
        <w:gridCol w:w="1129"/>
        <w:gridCol w:w="1831"/>
        <w:gridCol w:w="1987"/>
        <w:gridCol w:w="2277"/>
      </w:tblGrid>
      <w:tr w:rsidR="0068196F" w:rsidRPr="00220A07" w14:paraId="1B44BB4B" w14:textId="77777777" w:rsidTr="00742A2D">
        <w:trPr>
          <w:tblHeader/>
        </w:trPr>
        <w:tc>
          <w:tcPr>
            <w:tcW w:w="2410" w:type="dxa"/>
            <w:shd w:val="clear" w:color="auto" w:fill="95B3D7"/>
          </w:tcPr>
          <w:p w14:paraId="07886F89"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Impact term</w:t>
            </w:r>
          </w:p>
          <w:p w14:paraId="182B7FDD" w14:textId="77777777" w:rsidR="00526FAD" w:rsidRPr="00220A07" w:rsidRDefault="00526FAD" w:rsidP="00526FAD">
            <w:pPr>
              <w:rPr>
                <w:rFonts w:eastAsia="SimSun"/>
                <w:color w:val="000000" w:themeColor="text1"/>
                <w:sz w:val="24"/>
              </w:rPr>
            </w:pPr>
          </w:p>
        </w:tc>
        <w:tc>
          <w:tcPr>
            <w:tcW w:w="1129" w:type="dxa"/>
            <w:shd w:val="clear" w:color="auto" w:fill="95B3D7"/>
          </w:tcPr>
          <w:p w14:paraId="57D4F163"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Score</w:t>
            </w:r>
          </w:p>
        </w:tc>
        <w:tc>
          <w:tcPr>
            <w:tcW w:w="1831" w:type="dxa"/>
            <w:shd w:val="clear" w:color="auto" w:fill="95B3D7"/>
          </w:tcPr>
          <w:p w14:paraId="1F3D5455"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Finances</w:t>
            </w:r>
          </w:p>
        </w:tc>
        <w:tc>
          <w:tcPr>
            <w:tcW w:w="1987" w:type="dxa"/>
            <w:shd w:val="clear" w:color="auto" w:fill="95B3D7"/>
          </w:tcPr>
          <w:p w14:paraId="0ED913E7"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Delivery</w:t>
            </w:r>
          </w:p>
        </w:tc>
        <w:tc>
          <w:tcPr>
            <w:tcW w:w="2277" w:type="dxa"/>
            <w:shd w:val="clear" w:color="auto" w:fill="95B3D7"/>
          </w:tcPr>
          <w:p w14:paraId="38DD4249"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Stakeholders</w:t>
            </w:r>
          </w:p>
        </w:tc>
      </w:tr>
      <w:tr w:rsidR="0068196F" w:rsidRPr="00220A07" w14:paraId="11593014" w14:textId="77777777" w:rsidTr="0068196F">
        <w:tc>
          <w:tcPr>
            <w:tcW w:w="2410" w:type="dxa"/>
          </w:tcPr>
          <w:p w14:paraId="36D1FEBE"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Insignificant</w:t>
            </w:r>
          </w:p>
        </w:tc>
        <w:tc>
          <w:tcPr>
            <w:tcW w:w="1129" w:type="dxa"/>
          </w:tcPr>
          <w:p w14:paraId="31269857"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1</w:t>
            </w:r>
          </w:p>
        </w:tc>
        <w:tc>
          <w:tcPr>
            <w:tcW w:w="1831" w:type="dxa"/>
          </w:tcPr>
          <w:p w14:paraId="30AF08DD"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Financial implications of the risk are very low and are comfortably within the ability of the risk owner(s) to manage locally.</w:t>
            </w:r>
          </w:p>
        </w:tc>
        <w:tc>
          <w:tcPr>
            <w:tcW w:w="1987" w:type="dxa"/>
          </w:tcPr>
          <w:p w14:paraId="45F3D629" w14:textId="77777777" w:rsidR="00526FAD" w:rsidRPr="00220A07" w:rsidRDefault="00526FAD" w:rsidP="0068196F">
            <w:pPr>
              <w:ind w:left="109" w:hanging="109"/>
              <w:rPr>
                <w:rFonts w:eastAsia="SimSun"/>
                <w:color w:val="000000" w:themeColor="text1"/>
                <w:sz w:val="24"/>
              </w:rPr>
            </w:pPr>
            <w:r w:rsidRPr="00220A07">
              <w:rPr>
                <w:rFonts w:eastAsia="SimSun"/>
                <w:color w:val="000000" w:themeColor="text1"/>
                <w:sz w:val="24"/>
              </w:rPr>
              <w:t>• Minor impact to services or objectives</w:t>
            </w:r>
          </w:p>
          <w:p w14:paraId="366BAE80" w14:textId="77777777" w:rsidR="00526FAD" w:rsidRPr="00220A07" w:rsidRDefault="00526FAD" w:rsidP="0068196F">
            <w:pPr>
              <w:ind w:left="109" w:hanging="109"/>
              <w:rPr>
                <w:rFonts w:eastAsia="SimSun"/>
                <w:color w:val="000000" w:themeColor="text1"/>
                <w:sz w:val="24"/>
              </w:rPr>
            </w:pPr>
          </w:p>
          <w:p w14:paraId="5C12228A" w14:textId="77777777" w:rsidR="00526FAD" w:rsidRPr="00220A07" w:rsidRDefault="00526FAD" w:rsidP="0068196F">
            <w:pPr>
              <w:ind w:left="109" w:hanging="109"/>
              <w:rPr>
                <w:rFonts w:eastAsia="SimSun"/>
                <w:color w:val="000000" w:themeColor="text1"/>
                <w:sz w:val="24"/>
              </w:rPr>
            </w:pPr>
            <w:r w:rsidRPr="00220A07">
              <w:rPr>
                <w:rFonts w:eastAsia="SimSun"/>
                <w:color w:val="000000" w:themeColor="text1"/>
                <w:sz w:val="24"/>
              </w:rPr>
              <w:t>• Risk occurring would represent a minor revision to planned outcomes</w:t>
            </w:r>
          </w:p>
        </w:tc>
        <w:tc>
          <w:tcPr>
            <w:tcW w:w="2277" w:type="dxa"/>
          </w:tcPr>
          <w:p w14:paraId="3EC3F142" w14:textId="621551F2" w:rsidR="00526FAD" w:rsidRPr="00220A07" w:rsidRDefault="00526FAD" w:rsidP="0068196F">
            <w:pPr>
              <w:ind w:left="149" w:hanging="149"/>
              <w:rPr>
                <w:rFonts w:eastAsia="SimSun"/>
                <w:color w:val="000000" w:themeColor="text1"/>
                <w:sz w:val="24"/>
              </w:rPr>
            </w:pPr>
            <w:r w:rsidRPr="00220A07">
              <w:rPr>
                <w:rFonts w:eastAsia="SimSun"/>
                <w:color w:val="000000" w:themeColor="text1"/>
                <w:sz w:val="24"/>
              </w:rPr>
              <w:t xml:space="preserve">• Little or no </w:t>
            </w:r>
            <w:r w:rsidR="009C7026" w:rsidRPr="00220A07">
              <w:rPr>
                <w:rFonts w:eastAsia="SimSun"/>
                <w:color w:val="000000" w:themeColor="text1"/>
                <w:sz w:val="24"/>
              </w:rPr>
              <w:t>i</w:t>
            </w:r>
            <w:r w:rsidRPr="00220A07">
              <w:rPr>
                <w:rFonts w:eastAsia="SimSun"/>
                <w:color w:val="000000" w:themeColor="text1"/>
                <w:sz w:val="24"/>
              </w:rPr>
              <w:t>mpact on student / staff satisfaction.</w:t>
            </w:r>
          </w:p>
          <w:p w14:paraId="7E0B44BE" w14:textId="77777777" w:rsidR="00526FAD" w:rsidRPr="00220A07" w:rsidRDefault="00526FAD" w:rsidP="0068196F">
            <w:pPr>
              <w:ind w:left="149" w:hanging="149"/>
              <w:rPr>
                <w:rFonts w:eastAsia="SimSun"/>
                <w:color w:val="000000" w:themeColor="text1"/>
                <w:sz w:val="24"/>
              </w:rPr>
            </w:pPr>
            <w:r w:rsidRPr="00220A07">
              <w:rPr>
                <w:rFonts w:eastAsia="SimSun"/>
                <w:color w:val="000000" w:themeColor="text1"/>
                <w:sz w:val="24"/>
              </w:rPr>
              <w:t xml:space="preserve">• Short-term and/or </w:t>
            </w:r>
            <w:proofErr w:type="spellStart"/>
            <w:r w:rsidRPr="00220A07">
              <w:rPr>
                <w:rFonts w:eastAsia="SimSun"/>
                <w:color w:val="000000" w:themeColor="text1"/>
                <w:sz w:val="24"/>
              </w:rPr>
              <w:t>localised</w:t>
            </w:r>
            <w:proofErr w:type="spellEnd"/>
            <w:r w:rsidRPr="00220A07">
              <w:rPr>
                <w:rFonts w:eastAsia="SimSun"/>
                <w:color w:val="000000" w:themeColor="text1"/>
                <w:sz w:val="24"/>
              </w:rPr>
              <w:t xml:space="preserve"> environmental harm.</w:t>
            </w:r>
          </w:p>
        </w:tc>
      </w:tr>
      <w:tr w:rsidR="0068196F" w:rsidRPr="00220A07" w14:paraId="660FE855" w14:textId="77777777" w:rsidTr="0068196F">
        <w:tc>
          <w:tcPr>
            <w:tcW w:w="2410" w:type="dxa"/>
          </w:tcPr>
          <w:p w14:paraId="259616E8" w14:textId="7EEA8B9C" w:rsidR="00526FAD" w:rsidRPr="00220A07" w:rsidRDefault="00742D30" w:rsidP="00526FAD">
            <w:pPr>
              <w:rPr>
                <w:rFonts w:eastAsia="SimSun"/>
                <w:color w:val="000000" w:themeColor="text1"/>
                <w:sz w:val="24"/>
              </w:rPr>
            </w:pPr>
            <w:r w:rsidRPr="00220A07">
              <w:rPr>
                <w:rFonts w:eastAsia="SimSun"/>
                <w:color w:val="000000" w:themeColor="text1"/>
                <w:sz w:val="24"/>
              </w:rPr>
              <w:t>Minor</w:t>
            </w:r>
          </w:p>
        </w:tc>
        <w:tc>
          <w:tcPr>
            <w:tcW w:w="1129" w:type="dxa"/>
          </w:tcPr>
          <w:p w14:paraId="09F97922"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2</w:t>
            </w:r>
          </w:p>
        </w:tc>
        <w:tc>
          <w:tcPr>
            <w:tcW w:w="1831" w:type="dxa"/>
          </w:tcPr>
          <w:p w14:paraId="42A8BF54" w14:textId="570E0283" w:rsidR="00526FAD" w:rsidRPr="00220A07" w:rsidRDefault="00526FAD" w:rsidP="00526FAD">
            <w:pPr>
              <w:rPr>
                <w:rFonts w:eastAsia="SimSun"/>
                <w:color w:val="000000" w:themeColor="text1"/>
                <w:sz w:val="24"/>
              </w:rPr>
            </w:pPr>
            <w:r w:rsidRPr="00220A07">
              <w:rPr>
                <w:rFonts w:eastAsia="SimSun"/>
                <w:color w:val="000000" w:themeColor="text1"/>
                <w:sz w:val="24"/>
              </w:rPr>
              <w:t xml:space="preserve">Financial implications of the risk are low (&lt;10% of the </w:t>
            </w:r>
            <w:r w:rsidR="00777B2C" w:rsidRPr="00220A07">
              <w:rPr>
                <w:rFonts w:eastAsia="SimSun"/>
                <w:color w:val="000000" w:themeColor="text1"/>
                <w:sz w:val="24"/>
              </w:rPr>
              <w:t xml:space="preserve">PSD </w:t>
            </w:r>
            <w:r w:rsidRPr="00220A07">
              <w:rPr>
                <w:rFonts w:eastAsia="SimSun"/>
                <w:color w:val="000000" w:themeColor="text1"/>
                <w:sz w:val="24"/>
              </w:rPr>
              <w:t>budget or School</w:t>
            </w:r>
            <w:r w:rsidR="00777B2C" w:rsidRPr="00220A07">
              <w:rPr>
                <w:rFonts w:eastAsia="SimSun"/>
                <w:color w:val="000000" w:themeColor="text1"/>
                <w:sz w:val="24"/>
              </w:rPr>
              <w:t xml:space="preserve"> </w:t>
            </w:r>
            <w:r w:rsidRPr="00220A07">
              <w:rPr>
                <w:rFonts w:eastAsia="SimSun"/>
                <w:color w:val="000000" w:themeColor="text1"/>
                <w:sz w:val="24"/>
              </w:rPr>
              <w:t xml:space="preserve">turnover). It </w:t>
            </w:r>
            <w:r w:rsidRPr="00220A07">
              <w:rPr>
                <w:rFonts w:eastAsia="SimSun"/>
                <w:color w:val="000000" w:themeColor="text1"/>
                <w:sz w:val="24"/>
              </w:rPr>
              <w:lastRenderedPageBreak/>
              <w:t>remains within any contingencies set.</w:t>
            </w:r>
          </w:p>
        </w:tc>
        <w:tc>
          <w:tcPr>
            <w:tcW w:w="1987" w:type="dxa"/>
          </w:tcPr>
          <w:p w14:paraId="5EC0D946" w14:textId="77777777" w:rsidR="00526FAD" w:rsidRPr="00220A07" w:rsidRDefault="00526FAD" w:rsidP="0068196F">
            <w:pPr>
              <w:ind w:left="109" w:hanging="109"/>
              <w:rPr>
                <w:rFonts w:eastAsia="SimSun"/>
                <w:color w:val="000000" w:themeColor="text1"/>
                <w:sz w:val="24"/>
              </w:rPr>
            </w:pPr>
            <w:r w:rsidRPr="00220A07">
              <w:rPr>
                <w:rFonts w:eastAsia="SimSun"/>
                <w:color w:val="000000" w:themeColor="text1"/>
                <w:sz w:val="24"/>
              </w:rPr>
              <w:lastRenderedPageBreak/>
              <w:t>• Some limited impact on services or objectives</w:t>
            </w:r>
          </w:p>
          <w:p w14:paraId="275C3184" w14:textId="77777777" w:rsidR="00526FAD" w:rsidRPr="00220A07" w:rsidRDefault="00526FAD" w:rsidP="0068196F">
            <w:pPr>
              <w:ind w:left="109" w:hanging="109"/>
              <w:rPr>
                <w:rFonts w:eastAsia="SimSun"/>
                <w:color w:val="000000" w:themeColor="text1"/>
                <w:sz w:val="24"/>
              </w:rPr>
            </w:pPr>
          </w:p>
          <w:p w14:paraId="16E45BB0" w14:textId="77777777" w:rsidR="00526FAD" w:rsidRPr="00220A07" w:rsidRDefault="00526FAD" w:rsidP="0068196F">
            <w:pPr>
              <w:ind w:left="109" w:hanging="109"/>
              <w:rPr>
                <w:rFonts w:eastAsia="SimSun"/>
                <w:color w:val="000000" w:themeColor="text1"/>
                <w:sz w:val="24"/>
              </w:rPr>
            </w:pPr>
            <w:r w:rsidRPr="00220A07">
              <w:rPr>
                <w:rFonts w:eastAsia="SimSun"/>
                <w:color w:val="000000" w:themeColor="text1"/>
                <w:sz w:val="24"/>
              </w:rPr>
              <w:t xml:space="preserve">• Risk occurring may detract </w:t>
            </w:r>
            <w:r w:rsidRPr="00220A07">
              <w:rPr>
                <w:rFonts w:eastAsia="SimSun"/>
                <w:color w:val="000000" w:themeColor="text1"/>
                <w:sz w:val="24"/>
              </w:rPr>
              <w:lastRenderedPageBreak/>
              <w:t>slightly from the desired quality of the outcomes.</w:t>
            </w:r>
          </w:p>
        </w:tc>
        <w:tc>
          <w:tcPr>
            <w:tcW w:w="2277" w:type="dxa"/>
          </w:tcPr>
          <w:p w14:paraId="519E3465" w14:textId="77777777" w:rsidR="00526FAD" w:rsidRPr="00220A07" w:rsidRDefault="00526FAD" w:rsidP="0068196F">
            <w:pPr>
              <w:ind w:left="149" w:hanging="149"/>
              <w:rPr>
                <w:rFonts w:eastAsia="SimSun"/>
                <w:color w:val="000000" w:themeColor="text1"/>
                <w:sz w:val="24"/>
              </w:rPr>
            </w:pPr>
            <w:r w:rsidRPr="00220A07">
              <w:rPr>
                <w:rFonts w:eastAsia="SimSun"/>
                <w:color w:val="000000" w:themeColor="text1"/>
                <w:sz w:val="24"/>
              </w:rPr>
              <w:lastRenderedPageBreak/>
              <w:t xml:space="preserve">Isolated complaints. </w:t>
            </w:r>
          </w:p>
          <w:p w14:paraId="3D4CEF24" w14:textId="77777777" w:rsidR="00526FAD" w:rsidRPr="00220A07" w:rsidRDefault="00526FAD" w:rsidP="0068196F">
            <w:pPr>
              <w:ind w:left="149" w:hanging="149"/>
              <w:rPr>
                <w:rFonts w:eastAsia="SimSun"/>
                <w:color w:val="000000" w:themeColor="text1"/>
                <w:sz w:val="24"/>
              </w:rPr>
            </w:pPr>
            <w:r w:rsidRPr="00220A07">
              <w:rPr>
                <w:rFonts w:eastAsia="SimSun"/>
                <w:color w:val="000000" w:themeColor="text1"/>
                <w:sz w:val="24"/>
              </w:rPr>
              <w:t xml:space="preserve">• Some impact on student / staff satisfaction. </w:t>
            </w:r>
          </w:p>
          <w:p w14:paraId="4B7F19DC" w14:textId="77777777" w:rsidR="00526FAD" w:rsidRPr="00220A07" w:rsidRDefault="00526FAD" w:rsidP="0068196F">
            <w:pPr>
              <w:ind w:left="149" w:hanging="149"/>
              <w:rPr>
                <w:rFonts w:eastAsia="SimSun"/>
                <w:color w:val="000000" w:themeColor="text1"/>
                <w:sz w:val="24"/>
              </w:rPr>
            </w:pPr>
            <w:r w:rsidRPr="00220A07">
              <w:rPr>
                <w:rFonts w:eastAsia="SimSun"/>
                <w:color w:val="000000" w:themeColor="text1"/>
                <w:sz w:val="24"/>
              </w:rPr>
              <w:t xml:space="preserve">• Notable contributor to </w:t>
            </w:r>
            <w:r w:rsidRPr="00220A07">
              <w:rPr>
                <w:rFonts w:eastAsia="SimSun"/>
                <w:color w:val="000000" w:themeColor="text1"/>
                <w:sz w:val="24"/>
              </w:rPr>
              <w:lastRenderedPageBreak/>
              <w:t>environmental harm.</w:t>
            </w:r>
          </w:p>
        </w:tc>
      </w:tr>
      <w:tr w:rsidR="0068196F" w:rsidRPr="00220A07" w14:paraId="5F78C0D6" w14:textId="77777777" w:rsidTr="0068196F">
        <w:tc>
          <w:tcPr>
            <w:tcW w:w="2410" w:type="dxa"/>
          </w:tcPr>
          <w:p w14:paraId="0B50F5CD" w14:textId="77777777" w:rsidR="00526FAD" w:rsidRPr="00220A07" w:rsidRDefault="00526FAD" w:rsidP="00526FAD">
            <w:pPr>
              <w:rPr>
                <w:rFonts w:eastAsia="SimSun"/>
                <w:color w:val="000000" w:themeColor="text1"/>
                <w:sz w:val="24"/>
              </w:rPr>
            </w:pPr>
            <w:r w:rsidRPr="00220A07">
              <w:rPr>
                <w:rFonts w:eastAsia="SimSun"/>
                <w:color w:val="000000" w:themeColor="text1"/>
                <w:sz w:val="24"/>
              </w:rPr>
              <w:lastRenderedPageBreak/>
              <w:t>Moderate</w:t>
            </w:r>
          </w:p>
        </w:tc>
        <w:tc>
          <w:tcPr>
            <w:tcW w:w="1129" w:type="dxa"/>
          </w:tcPr>
          <w:p w14:paraId="3BF262AF"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3</w:t>
            </w:r>
          </w:p>
        </w:tc>
        <w:tc>
          <w:tcPr>
            <w:tcW w:w="1831" w:type="dxa"/>
          </w:tcPr>
          <w:p w14:paraId="5CC0A9AA" w14:textId="34089814" w:rsidR="00526FAD" w:rsidRPr="00220A07" w:rsidRDefault="00526FAD" w:rsidP="00526FAD">
            <w:pPr>
              <w:rPr>
                <w:rFonts w:eastAsia="SimSun"/>
                <w:color w:val="000000" w:themeColor="text1"/>
                <w:sz w:val="24"/>
              </w:rPr>
            </w:pPr>
            <w:r w:rsidRPr="00220A07">
              <w:rPr>
                <w:rFonts w:eastAsia="SimSun"/>
                <w:color w:val="000000" w:themeColor="text1"/>
                <w:sz w:val="24"/>
              </w:rPr>
              <w:t xml:space="preserve">Financial implications of the risk are medium (10% -20% of the </w:t>
            </w:r>
            <w:r w:rsidR="00777B2C" w:rsidRPr="00220A07">
              <w:rPr>
                <w:rFonts w:eastAsia="SimSun"/>
                <w:color w:val="000000" w:themeColor="text1"/>
                <w:sz w:val="24"/>
              </w:rPr>
              <w:t>PSD budget or School turnover</w:t>
            </w:r>
            <w:r w:rsidRPr="00220A07">
              <w:rPr>
                <w:rFonts w:eastAsia="SimSun"/>
                <w:color w:val="000000" w:themeColor="text1"/>
                <w:sz w:val="24"/>
              </w:rPr>
              <w:t>). It may exhaust or be larger than contingencies made but can be managed without additional funds</w:t>
            </w:r>
          </w:p>
        </w:tc>
        <w:tc>
          <w:tcPr>
            <w:tcW w:w="1987" w:type="dxa"/>
          </w:tcPr>
          <w:p w14:paraId="6639D3A5" w14:textId="77777777" w:rsidR="00526FAD" w:rsidRPr="00220A07" w:rsidRDefault="00526FAD" w:rsidP="0068196F">
            <w:pPr>
              <w:ind w:left="109" w:hanging="109"/>
              <w:rPr>
                <w:rFonts w:eastAsia="SimSun"/>
                <w:color w:val="000000" w:themeColor="text1"/>
                <w:sz w:val="24"/>
              </w:rPr>
            </w:pPr>
            <w:r w:rsidRPr="00220A07">
              <w:rPr>
                <w:rFonts w:eastAsia="SimSun"/>
                <w:color w:val="000000" w:themeColor="text1"/>
                <w:sz w:val="24"/>
              </w:rPr>
              <w:t>• Short disruption to services</w:t>
            </w:r>
          </w:p>
          <w:p w14:paraId="53794891" w14:textId="77777777" w:rsidR="00526FAD" w:rsidRPr="00220A07" w:rsidRDefault="00526FAD" w:rsidP="0068196F">
            <w:pPr>
              <w:ind w:left="109" w:hanging="109"/>
              <w:rPr>
                <w:rFonts w:eastAsia="SimSun"/>
                <w:color w:val="000000" w:themeColor="text1"/>
                <w:sz w:val="24"/>
              </w:rPr>
            </w:pPr>
          </w:p>
          <w:p w14:paraId="6EE1C488" w14:textId="77777777" w:rsidR="00526FAD" w:rsidRPr="00220A07" w:rsidRDefault="00526FAD" w:rsidP="0068196F">
            <w:pPr>
              <w:ind w:left="109" w:hanging="109"/>
              <w:rPr>
                <w:rFonts w:eastAsia="SimSun"/>
                <w:color w:val="000000" w:themeColor="text1"/>
                <w:sz w:val="24"/>
              </w:rPr>
            </w:pPr>
            <w:r w:rsidRPr="00220A07">
              <w:rPr>
                <w:rFonts w:eastAsia="SimSun"/>
                <w:color w:val="000000" w:themeColor="text1"/>
                <w:sz w:val="24"/>
              </w:rPr>
              <w:t xml:space="preserve">• Risk occurring would detract from the desired quality of the outcome but not from the overall purpose of the activity. </w:t>
            </w:r>
          </w:p>
        </w:tc>
        <w:tc>
          <w:tcPr>
            <w:tcW w:w="2277" w:type="dxa"/>
          </w:tcPr>
          <w:p w14:paraId="663D77C9" w14:textId="77777777" w:rsidR="00526FAD" w:rsidRPr="00220A07" w:rsidRDefault="00526FAD" w:rsidP="0068196F">
            <w:pPr>
              <w:ind w:left="149"/>
              <w:rPr>
                <w:rFonts w:eastAsia="SimSun"/>
                <w:color w:val="000000" w:themeColor="text1"/>
                <w:sz w:val="24"/>
              </w:rPr>
            </w:pPr>
            <w:r w:rsidRPr="00220A07">
              <w:rPr>
                <w:rFonts w:eastAsia="SimSun"/>
                <w:color w:val="000000" w:themeColor="text1"/>
                <w:sz w:val="24"/>
              </w:rPr>
              <w:t xml:space="preserve">Large number of complaints. • Wider impact on student / staff satisfaction. </w:t>
            </w:r>
          </w:p>
          <w:p w14:paraId="5F2946E4" w14:textId="77777777" w:rsidR="00526FAD" w:rsidRPr="00220A07" w:rsidRDefault="00526FAD" w:rsidP="0068196F">
            <w:pPr>
              <w:ind w:left="149" w:hanging="149"/>
              <w:rPr>
                <w:rFonts w:eastAsia="SimSun"/>
                <w:color w:val="000000" w:themeColor="text1"/>
                <w:sz w:val="24"/>
              </w:rPr>
            </w:pPr>
            <w:r w:rsidRPr="00220A07">
              <w:rPr>
                <w:rFonts w:eastAsia="SimSun"/>
                <w:color w:val="000000" w:themeColor="text1"/>
                <w:sz w:val="24"/>
              </w:rPr>
              <w:t>• Notable external stakeholder dissatisfaction (</w:t>
            </w:r>
            <w:proofErr w:type="spellStart"/>
            <w:r w:rsidRPr="00220A07">
              <w:rPr>
                <w:rFonts w:eastAsia="SimSun"/>
                <w:color w:val="000000" w:themeColor="text1"/>
                <w:sz w:val="24"/>
              </w:rPr>
              <w:t>neighbours</w:t>
            </w:r>
            <w:proofErr w:type="spellEnd"/>
            <w:r w:rsidRPr="00220A07">
              <w:rPr>
                <w:rFonts w:eastAsia="SimSun"/>
                <w:color w:val="000000" w:themeColor="text1"/>
                <w:sz w:val="24"/>
              </w:rPr>
              <w:t xml:space="preserve">, employers, partners). </w:t>
            </w:r>
          </w:p>
          <w:p w14:paraId="4D916FBF" w14:textId="77777777" w:rsidR="00526FAD" w:rsidRPr="00220A07" w:rsidRDefault="00526FAD" w:rsidP="0068196F">
            <w:pPr>
              <w:ind w:left="149" w:hanging="149"/>
              <w:rPr>
                <w:rFonts w:eastAsia="SimSun"/>
                <w:color w:val="000000" w:themeColor="text1"/>
                <w:sz w:val="24"/>
              </w:rPr>
            </w:pPr>
            <w:r w:rsidRPr="00220A07">
              <w:rPr>
                <w:rFonts w:eastAsia="SimSun"/>
                <w:color w:val="000000" w:themeColor="text1"/>
                <w:sz w:val="24"/>
              </w:rPr>
              <w:t>• A significant contributor to environmental harm.</w:t>
            </w:r>
          </w:p>
        </w:tc>
      </w:tr>
      <w:tr w:rsidR="0068196F" w:rsidRPr="00220A07" w14:paraId="764235E8" w14:textId="77777777" w:rsidTr="0068196F">
        <w:tc>
          <w:tcPr>
            <w:tcW w:w="2410" w:type="dxa"/>
          </w:tcPr>
          <w:p w14:paraId="368AB267" w14:textId="06FACA73" w:rsidR="00526FAD" w:rsidRPr="00220A07" w:rsidRDefault="00742D30" w:rsidP="00526FAD">
            <w:pPr>
              <w:rPr>
                <w:rFonts w:eastAsia="SimSun"/>
                <w:color w:val="000000" w:themeColor="text1"/>
                <w:sz w:val="24"/>
              </w:rPr>
            </w:pPr>
            <w:r w:rsidRPr="00220A07">
              <w:rPr>
                <w:rFonts w:eastAsia="SimSun"/>
                <w:color w:val="000000" w:themeColor="text1"/>
                <w:sz w:val="24"/>
              </w:rPr>
              <w:t>Major</w:t>
            </w:r>
          </w:p>
        </w:tc>
        <w:tc>
          <w:tcPr>
            <w:tcW w:w="1129" w:type="dxa"/>
          </w:tcPr>
          <w:p w14:paraId="01EAD909"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4</w:t>
            </w:r>
          </w:p>
        </w:tc>
        <w:tc>
          <w:tcPr>
            <w:tcW w:w="1831" w:type="dxa"/>
          </w:tcPr>
          <w:p w14:paraId="2994E9EA" w14:textId="639E7A63" w:rsidR="00526FAD" w:rsidRPr="00220A07" w:rsidRDefault="00526FAD" w:rsidP="00526FAD">
            <w:pPr>
              <w:rPr>
                <w:rFonts w:eastAsia="SimSun"/>
                <w:color w:val="000000" w:themeColor="text1"/>
                <w:sz w:val="24"/>
              </w:rPr>
            </w:pPr>
            <w:r w:rsidRPr="00220A07">
              <w:rPr>
                <w:rFonts w:eastAsia="SimSun"/>
                <w:color w:val="000000" w:themeColor="text1"/>
                <w:sz w:val="24"/>
              </w:rPr>
              <w:t xml:space="preserve">Financial implications of the risk are high (25% - &lt;50% of the </w:t>
            </w:r>
            <w:r w:rsidR="00777B2C" w:rsidRPr="00220A07">
              <w:rPr>
                <w:rFonts w:eastAsia="SimSun"/>
                <w:color w:val="000000" w:themeColor="text1"/>
                <w:sz w:val="24"/>
              </w:rPr>
              <w:t>PSD budget or School turnover</w:t>
            </w:r>
            <w:r w:rsidRPr="00220A07">
              <w:rPr>
                <w:rFonts w:eastAsia="SimSun"/>
                <w:color w:val="000000" w:themeColor="text1"/>
                <w:sz w:val="24"/>
              </w:rPr>
              <w:t>). It is not possible to meet the cost within the approved budget and further funding would be required.</w:t>
            </w:r>
          </w:p>
        </w:tc>
        <w:tc>
          <w:tcPr>
            <w:tcW w:w="1987" w:type="dxa"/>
          </w:tcPr>
          <w:p w14:paraId="50DE7FF7" w14:textId="77777777" w:rsidR="00526FAD" w:rsidRPr="00220A07" w:rsidRDefault="00526FAD" w:rsidP="0068196F">
            <w:pPr>
              <w:ind w:left="109" w:hanging="109"/>
              <w:rPr>
                <w:rFonts w:eastAsia="SimSun"/>
                <w:color w:val="000000" w:themeColor="text1"/>
                <w:sz w:val="24"/>
              </w:rPr>
            </w:pPr>
            <w:r w:rsidRPr="00220A07">
              <w:rPr>
                <w:rFonts w:eastAsia="SimSun"/>
                <w:color w:val="000000" w:themeColor="text1"/>
                <w:sz w:val="24"/>
              </w:rPr>
              <w:t>• Short disruption to critical services</w:t>
            </w:r>
          </w:p>
          <w:p w14:paraId="02DFFBEE" w14:textId="77777777" w:rsidR="00526FAD" w:rsidRPr="00220A07" w:rsidRDefault="00526FAD" w:rsidP="0068196F">
            <w:pPr>
              <w:ind w:left="109" w:hanging="109"/>
              <w:rPr>
                <w:rFonts w:eastAsia="SimSun"/>
                <w:color w:val="000000" w:themeColor="text1"/>
                <w:sz w:val="24"/>
              </w:rPr>
            </w:pPr>
          </w:p>
          <w:p w14:paraId="65D07ABA" w14:textId="77777777" w:rsidR="00526FAD" w:rsidRPr="00220A07" w:rsidRDefault="00526FAD" w:rsidP="0068196F">
            <w:pPr>
              <w:ind w:left="109" w:hanging="109"/>
              <w:rPr>
                <w:rFonts w:eastAsia="SimSun"/>
                <w:color w:val="000000" w:themeColor="text1"/>
                <w:sz w:val="24"/>
              </w:rPr>
            </w:pPr>
            <w:r w:rsidRPr="00220A07">
              <w:rPr>
                <w:rFonts w:eastAsia="SimSun"/>
                <w:color w:val="000000" w:themeColor="text1"/>
                <w:sz w:val="24"/>
              </w:rPr>
              <w:t>• Key School/ PSD objectives affected</w:t>
            </w:r>
          </w:p>
          <w:p w14:paraId="0A01244B" w14:textId="77777777" w:rsidR="00526FAD" w:rsidRPr="00220A07" w:rsidRDefault="00526FAD" w:rsidP="0068196F">
            <w:pPr>
              <w:ind w:left="109" w:hanging="109"/>
              <w:rPr>
                <w:rFonts w:eastAsia="SimSun"/>
                <w:color w:val="000000" w:themeColor="text1"/>
                <w:sz w:val="24"/>
              </w:rPr>
            </w:pPr>
          </w:p>
          <w:p w14:paraId="68D9F8E2" w14:textId="77777777" w:rsidR="00526FAD" w:rsidRPr="00220A07" w:rsidRDefault="00526FAD" w:rsidP="0068196F">
            <w:pPr>
              <w:ind w:left="109" w:hanging="109"/>
              <w:rPr>
                <w:rFonts w:eastAsia="SimSun"/>
                <w:color w:val="000000" w:themeColor="text1"/>
                <w:sz w:val="24"/>
              </w:rPr>
            </w:pPr>
            <w:r w:rsidRPr="00220A07">
              <w:rPr>
                <w:rFonts w:eastAsia="SimSun"/>
                <w:color w:val="000000" w:themeColor="text1"/>
                <w:sz w:val="24"/>
              </w:rPr>
              <w:t>• Risk Occurring would significantly detract from the original desired quality of outcomes and may reduce the viability of the activity as outcomes require revision.</w:t>
            </w:r>
          </w:p>
        </w:tc>
        <w:tc>
          <w:tcPr>
            <w:tcW w:w="2277" w:type="dxa"/>
          </w:tcPr>
          <w:p w14:paraId="0D2DD351" w14:textId="77777777" w:rsidR="00526FAD" w:rsidRPr="00220A07" w:rsidRDefault="00526FAD" w:rsidP="0068196F">
            <w:pPr>
              <w:ind w:left="149" w:hanging="149"/>
              <w:rPr>
                <w:rFonts w:eastAsia="SimSun"/>
                <w:color w:val="000000" w:themeColor="text1"/>
                <w:sz w:val="24"/>
              </w:rPr>
            </w:pPr>
            <w:r w:rsidRPr="00220A07">
              <w:rPr>
                <w:rFonts w:eastAsia="SimSun"/>
                <w:color w:val="000000" w:themeColor="text1"/>
                <w:sz w:val="24"/>
              </w:rPr>
              <w:t xml:space="preserve">• Significant impact on student / staff satisfaction. </w:t>
            </w:r>
          </w:p>
          <w:p w14:paraId="32107C67" w14:textId="77777777" w:rsidR="00526FAD" w:rsidRPr="00220A07" w:rsidRDefault="00526FAD" w:rsidP="0068196F">
            <w:pPr>
              <w:ind w:left="149" w:hanging="149"/>
              <w:rPr>
                <w:rFonts w:eastAsia="SimSun"/>
                <w:color w:val="000000" w:themeColor="text1"/>
                <w:sz w:val="24"/>
              </w:rPr>
            </w:pPr>
            <w:r w:rsidRPr="00220A07">
              <w:rPr>
                <w:rFonts w:eastAsia="SimSun"/>
                <w:color w:val="000000" w:themeColor="text1"/>
                <w:sz w:val="24"/>
              </w:rPr>
              <w:t xml:space="preserve">• Reputational / brand damage is possible. </w:t>
            </w:r>
          </w:p>
          <w:p w14:paraId="3D815B2D" w14:textId="77777777" w:rsidR="00526FAD" w:rsidRPr="00220A07" w:rsidRDefault="00526FAD" w:rsidP="0068196F">
            <w:pPr>
              <w:ind w:left="149" w:hanging="149"/>
              <w:rPr>
                <w:rFonts w:eastAsia="SimSun"/>
                <w:color w:val="000000" w:themeColor="text1"/>
                <w:sz w:val="24"/>
              </w:rPr>
            </w:pPr>
            <w:r w:rsidRPr="00220A07">
              <w:rPr>
                <w:rFonts w:eastAsia="SimSun"/>
                <w:color w:val="000000" w:themeColor="text1"/>
                <w:sz w:val="24"/>
              </w:rPr>
              <w:t xml:space="preserve">• May affect recruitment </w:t>
            </w:r>
          </w:p>
          <w:p w14:paraId="2693AC6F" w14:textId="77777777" w:rsidR="00526FAD" w:rsidRPr="00220A07" w:rsidRDefault="00526FAD" w:rsidP="0068196F">
            <w:pPr>
              <w:ind w:left="149" w:hanging="149"/>
              <w:rPr>
                <w:rFonts w:eastAsia="SimSun"/>
                <w:color w:val="000000" w:themeColor="text1"/>
                <w:sz w:val="24"/>
              </w:rPr>
            </w:pPr>
            <w:r w:rsidRPr="00220A07">
              <w:rPr>
                <w:rFonts w:eastAsia="SimSun"/>
                <w:color w:val="000000" w:themeColor="text1"/>
                <w:sz w:val="24"/>
              </w:rPr>
              <w:t xml:space="preserve">• A major contributor to significant environmental harm. </w:t>
            </w:r>
          </w:p>
          <w:p w14:paraId="0A4AE50F" w14:textId="77777777" w:rsidR="00526FAD" w:rsidRPr="00220A07" w:rsidRDefault="00526FAD" w:rsidP="0068196F">
            <w:pPr>
              <w:ind w:left="149" w:hanging="149"/>
              <w:rPr>
                <w:rFonts w:eastAsia="SimSun"/>
                <w:color w:val="000000" w:themeColor="text1"/>
                <w:sz w:val="24"/>
              </w:rPr>
            </w:pPr>
            <w:r w:rsidRPr="00220A07">
              <w:rPr>
                <w:rFonts w:eastAsia="SimSun"/>
                <w:color w:val="000000" w:themeColor="text1"/>
                <w:sz w:val="24"/>
              </w:rPr>
              <w:t>• Regulatory / contractual intervention possible.</w:t>
            </w:r>
          </w:p>
        </w:tc>
      </w:tr>
      <w:tr w:rsidR="0068196F" w:rsidRPr="00220A07" w14:paraId="02F68174" w14:textId="77777777" w:rsidTr="0068196F">
        <w:tc>
          <w:tcPr>
            <w:tcW w:w="2410" w:type="dxa"/>
          </w:tcPr>
          <w:p w14:paraId="651AEDBB" w14:textId="5E354B1C" w:rsidR="00526FAD" w:rsidRPr="00220A07" w:rsidRDefault="00742D30" w:rsidP="00526FAD">
            <w:pPr>
              <w:rPr>
                <w:rFonts w:eastAsia="SimSun"/>
                <w:color w:val="000000" w:themeColor="text1"/>
                <w:sz w:val="24"/>
              </w:rPr>
            </w:pPr>
            <w:r w:rsidRPr="00220A07">
              <w:rPr>
                <w:rFonts w:eastAsia="SimSun"/>
                <w:color w:val="000000" w:themeColor="text1"/>
                <w:sz w:val="24"/>
              </w:rPr>
              <w:t>Catastrophic</w:t>
            </w:r>
          </w:p>
        </w:tc>
        <w:tc>
          <w:tcPr>
            <w:tcW w:w="1129" w:type="dxa"/>
          </w:tcPr>
          <w:p w14:paraId="551F00DD" w14:textId="77777777" w:rsidR="00526FAD" w:rsidRPr="00220A07" w:rsidRDefault="00526FAD" w:rsidP="00526FAD">
            <w:pPr>
              <w:rPr>
                <w:rFonts w:eastAsia="SimSun"/>
                <w:color w:val="000000" w:themeColor="text1"/>
                <w:sz w:val="24"/>
              </w:rPr>
            </w:pPr>
            <w:r w:rsidRPr="00220A07">
              <w:rPr>
                <w:rFonts w:eastAsia="SimSun"/>
                <w:color w:val="000000" w:themeColor="text1"/>
                <w:sz w:val="24"/>
              </w:rPr>
              <w:t>5</w:t>
            </w:r>
          </w:p>
        </w:tc>
        <w:tc>
          <w:tcPr>
            <w:tcW w:w="1831" w:type="dxa"/>
          </w:tcPr>
          <w:p w14:paraId="217107A3" w14:textId="4EDC2030" w:rsidR="00526FAD" w:rsidRPr="00220A07" w:rsidRDefault="00526FAD" w:rsidP="00526FAD">
            <w:pPr>
              <w:rPr>
                <w:rFonts w:eastAsia="SimSun"/>
                <w:color w:val="000000" w:themeColor="text1"/>
                <w:sz w:val="24"/>
              </w:rPr>
            </w:pPr>
            <w:r w:rsidRPr="00220A07">
              <w:rPr>
                <w:rFonts w:eastAsia="SimSun"/>
                <w:color w:val="000000" w:themeColor="text1"/>
                <w:sz w:val="24"/>
              </w:rPr>
              <w:t xml:space="preserve">The impact on finance is critical (&gt;50% of the </w:t>
            </w:r>
            <w:r w:rsidR="00777B2C" w:rsidRPr="00220A07">
              <w:rPr>
                <w:rFonts w:eastAsia="SimSun"/>
                <w:color w:val="000000" w:themeColor="text1"/>
                <w:sz w:val="24"/>
              </w:rPr>
              <w:t xml:space="preserve">PSD budget or </w:t>
            </w:r>
            <w:r w:rsidR="00777B2C" w:rsidRPr="00220A07">
              <w:rPr>
                <w:rFonts w:eastAsia="SimSun"/>
                <w:color w:val="000000" w:themeColor="text1"/>
                <w:sz w:val="24"/>
              </w:rPr>
              <w:lastRenderedPageBreak/>
              <w:t>School turnover</w:t>
            </w:r>
            <w:r w:rsidRPr="00220A07">
              <w:rPr>
                <w:rFonts w:eastAsia="SimSun"/>
                <w:color w:val="000000" w:themeColor="text1"/>
                <w:sz w:val="24"/>
              </w:rPr>
              <w:t xml:space="preserve">). Increased cost would negate benefits of activity and may </w:t>
            </w:r>
            <w:proofErr w:type="spellStart"/>
            <w:r w:rsidRPr="00220A07">
              <w:rPr>
                <w:rFonts w:eastAsia="SimSun"/>
                <w:color w:val="000000" w:themeColor="text1"/>
                <w:sz w:val="24"/>
              </w:rPr>
              <w:t>destabilise</w:t>
            </w:r>
            <w:proofErr w:type="spellEnd"/>
            <w:r w:rsidRPr="00220A07">
              <w:rPr>
                <w:rFonts w:eastAsia="SimSun"/>
                <w:color w:val="000000" w:themeColor="text1"/>
                <w:sz w:val="24"/>
              </w:rPr>
              <w:t xml:space="preserve"> the reporting unit.</w:t>
            </w:r>
          </w:p>
        </w:tc>
        <w:tc>
          <w:tcPr>
            <w:tcW w:w="1987" w:type="dxa"/>
          </w:tcPr>
          <w:p w14:paraId="083EBA88" w14:textId="77777777" w:rsidR="00526FAD" w:rsidRPr="00220A07" w:rsidRDefault="00526FAD" w:rsidP="0068196F">
            <w:pPr>
              <w:ind w:left="109" w:hanging="109"/>
              <w:rPr>
                <w:rFonts w:eastAsia="SimSun"/>
                <w:color w:val="000000" w:themeColor="text1"/>
                <w:sz w:val="24"/>
              </w:rPr>
            </w:pPr>
            <w:r w:rsidRPr="00220A07">
              <w:rPr>
                <w:rFonts w:eastAsia="SimSun"/>
                <w:color w:val="000000" w:themeColor="text1"/>
                <w:sz w:val="24"/>
              </w:rPr>
              <w:lastRenderedPageBreak/>
              <w:t xml:space="preserve">• Total and sustained disruption to critical services. </w:t>
            </w:r>
          </w:p>
          <w:p w14:paraId="69869D5D" w14:textId="77777777" w:rsidR="00526FAD" w:rsidRPr="00220A07" w:rsidRDefault="00526FAD" w:rsidP="0068196F">
            <w:pPr>
              <w:ind w:left="109" w:hanging="109"/>
              <w:rPr>
                <w:rFonts w:eastAsia="SimSun"/>
                <w:color w:val="000000" w:themeColor="text1"/>
                <w:sz w:val="24"/>
              </w:rPr>
            </w:pPr>
          </w:p>
          <w:p w14:paraId="6C4FEE32" w14:textId="77777777" w:rsidR="00526FAD" w:rsidRPr="00220A07" w:rsidRDefault="00526FAD" w:rsidP="0068196F">
            <w:pPr>
              <w:ind w:left="109" w:hanging="109"/>
              <w:rPr>
                <w:rFonts w:eastAsia="SimSun"/>
                <w:color w:val="000000" w:themeColor="text1"/>
                <w:sz w:val="24"/>
              </w:rPr>
            </w:pPr>
            <w:r w:rsidRPr="00220A07">
              <w:rPr>
                <w:rFonts w:eastAsia="SimSun"/>
                <w:color w:val="000000" w:themeColor="text1"/>
                <w:sz w:val="24"/>
              </w:rPr>
              <w:t>• Significant impact on key University objectives. • Risk occurring would reduce quality of desired outcomes to such an extent that it negates benefits of activity.</w:t>
            </w:r>
          </w:p>
        </w:tc>
        <w:tc>
          <w:tcPr>
            <w:tcW w:w="2277" w:type="dxa"/>
          </w:tcPr>
          <w:p w14:paraId="5171E634" w14:textId="77777777" w:rsidR="00526FAD" w:rsidRPr="00220A07" w:rsidRDefault="00526FAD" w:rsidP="0068196F">
            <w:pPr>
              <w:ind w:left="149" w:hanging="149"/>
              <w:rPr>
                <w:rFonts w:eastAsia="SimSun"/>
                <w:color w:val="000000" w:themeColor="text1"/>
                <w:sz w:val="24"/>
              </w:rPr>
            </w:pPr>
            <w:r w:rsidRPr="00220A07">
              <w:rPr>
                <w:rFonts w:eastAsia="SimSun"/>
                <w:color w:val="000000" w:themeColor="text1"/>
                <w:sz w:val="24"/>
              </w:rPr>
              <w:lastRenderedPageBreak/>
              <w:t xml:space="preserve">• Loss of credibility with stakeholders. • Critical impact to </w:t>
            </w:r>
            <w:r w:rsidRPr="00220A07">
              <w:rPr>
                <w:rFonts w:eastAsia="SimSun"/>
                <w:color w:val="000000" w:themeColor="text1"/>
                <w:sz w:val="24"/>
              </w:rPr>
              <w:lastRenderedPageBreak/>
              <w:t xml:space="preserve">staff / student experience. </w:t>
            </w:r>
          </w:p>
          <w:p w14:paraId="1999446A" w14:textId="77777777" w:rsidR="00526FAD" w:rsidRPr="00220A07" w:rsidRDefault="00526FAD" w:rsidP="0068196F">
            <w:pPr>
              <w:ind w:left="149" w:hanging="149"/>
              <w:rPr>
                <w:rFonts w:eastAsia="SimSun"/>
                <w:color w:val="000000" w:themeColor="text1"/>
                <w:sz w:val="24"/>
              </w:rPr>
            </w:pPr>
            <w:r w:rsidRPr="00220A07">
              <w:rPr>
                <w:rFonts w:eastAsia="SimSun"/>
                <w:color w:val="000000" w:themeColor="text1"/>
                <w:sz w:val="24"/>
              </w:rPr>
              <w:t xml:space="preserve">• Likely reputational / brand damage. </w:t>
            </w:r>
          </w:p>
          <w:p w14:paraId="27E26316" w14:textId="77777777" w:rsidR="00526FAD" w:rsidRPr="00220A07" w:rsidRDefault="00526FAD" w:rsidP="0068196F">
            <w:pPr>
              <w:ind w:left="149" w:hanging="149"/>
              <w:rPr>
                <w:rFonts w:eastAsia="SimSun"/>
                <w:color w:val="000000" w:themeColor="text1"/>
                <w:sz w:val="24"/>
              </w:rPr>
            </w:pPr>
            <w:r w:rsidRPr="00220A07">
              <w:rPr>
                <w:rFonts w:eastAsia="SimSun"/>
                <w:color w:val="000000" w:themeColor="text1"/>
                <w:sz w:val="24"/>
              </w:rPr>
              <w:t>• Likely to affect recruitment</w:t>
            </w:r>
          </w:p>
          <w:p w14:paraId="33000EE5" w14:textId="77777777" w:rsidR="00526FAD" w:rsidRPr="00220A07" w:rsidRDefault="00526FAD" w:rsidP="0068196F">
            <w:pPr>
              <w:ind w:left="149" w:hanging="149"/>
              <w:rPr>
                <w:rFonts w:eastAsia="SimSun"/>
                <w:color w:val="000000" w:themeColor="text1"/>
                <w:sz w:val="24"/>
              </w:rPr>
            </w:pPr>
            <w:r w:rsidRPr="00220A07">
              <w:rPr>
                <w:rFonts w:eastAsia="SimSun"/>
                <w:color w:val="000000" w:themeColor="text1"/>
                <w:sz w:val="24"/>
              </w:rPr>
              <w:t xml:space="preserve">• The major contributor to significant environmental harm. </w:t>
            </w:r>
          </w:p>
          <w:p w14:paraId="2448411B" w14:textId="77777777" w:rsidR="00526FAD" w:rsidRPr="00220A07" w:rsidRDefault="00526FAD" w:rsidP="0068196F">
            <w:pPr>
              <w:ind w:left="149" w:hanging="149"/>
              <w:rPr>
                <w:rFonts w:eastAsia="SimSun"/>
                <w:color w:val="000000" w:themeColor="text1"/>
                <w:sz w:val="24"/>
              </w:rPr>
            </w:pPr>
            <w:r w:rsidRPr="00220A07">
              <w:rPr>
                <w:rFonts w:eastAsia="SimSun"/>
                <w:color w:val="000000" w:themeColor="text1"/>
                <w:sz w:val="24"/>
              </w:rPr>
              <w:t>• Regulatory / contractual intervention likely.</w:t>
            </w:r>
          </w:p>
        </w:tc>
      </w:tr>
    </w:tbl>
    <w:p w14:paraId="027C983B" w14:textId="0B76C90A" w:rsidR="00A013FB" w:rsidRPr="00220A07" w:rsidRDefault="00A013FB" w:rsidP="00526FAD">
      <w:pPr>
        <w:spacing w:line="240" w:lineRule="auto"/>
        <w:ind w:left="0" w:firstLine="0"/>
        <w:jc w:val="left"/>
        <w:rPr>
          <w:rFonts w:cs="Arial"/>
          <w:color w:val="000000" w:themeColor="text1"/>
          <w:sz w:val="24"/>
        </w:rPr>
      </w:pPr>
    </w:p>
    <w:p w14:paraId="33147CEF" w14:textId="4AE25092" w:rsidR="00F33989" w:rsidRPr="00220A07" w:rsidRDefault="00F33989" w:rsidP="00FE2F4F">
      <w:pPr>
        <w:ind w:left="0" w:firstLine="0"/>
        <w:rPr>
          <w:rFonts w:cs="Arial"/>
          <w:color w:val="000000" w:themeColor="text1"/>
          <w:sz w:val="24"/>
          <w:lang w:eastAsia="zh-CN"/>
        </w:rPr>
      </w:pPr>
    </w:p>
    <w:p w14:paraId="3ED33117" w14:textId="4A20CE4E" w:rsidR="00B31F49" w:rsidRPr="00AE7D81" w:rsidRDefault="00B31F49" w:rsidP="00B2621A">
      <w:pPr>
        <w:pStyle w:val="Heading1"/>
        <w:numPr>
          <w:ilvl w:val="0"/>
          <w:numId w:val="28"/>
        </w:numPr>
      </w:pPr>
      <w:r w:rsidRPr="00AE7D81">
        <w:t>Existing Controls</w:t>
      </w:r>
    </w:p>
    <w:p w14:paraId="1E9FAE8D" w14:textId="4F057CD1" w:rsidR="00F24BED" w:rsidRPr="00145089" w:rsidRDefault="00F24BED" w:rsidP="00145089">
      <w:pPr>
        <w:pStyle w:val="ListParagraph"/>
        <w:ind w:left="360" w:firstLine="0"/>
        <w:jc w:val="left"/>
        <w:rPr>
          <w:rFonts w:cs="Arial"/>
          <w:iCs/>
          <w:color w:val="000000" w:themeColor="text1"/>
          <w:sz w:val="24"/>
          <w:lang w:eastAsia="zh-CN"/>
        </w:rPr>
      </w:pPr>
      <w:r w:rsidRPr="00145089">
        <w:rPr>
          <w:rFonts w:cs="Arial"/>
          <w:iCs/>
          <w:color w:val="000000" w:themeColor="text1"/>
          <w:sz w:val="24"/>
          <w:lang w:eastAsia="zh-CN"/>
        </w:rPr>
        <w:t xml:space="preserve">This section of the Risk Management template should be used to identify existing strategies, processes or controls in place to manage the risk identified. </w:t>
      </w:r>
    </w:p>
    <w:p w14:paraId="20922FAD" w14:textId="77777777" w:rsidR="00145089" w:rsidRPr="0059544B" w:rsidRDefault="00145089" w:rsidP="00145089">
      <w:pPr>
        <w:jc w:val="left"/>
        <w:rPr>
          <w:rFonts w:cs="Arial"/>
          <w:iCs/>
          <w:color w:val="000000" w:themeColor="text1"/>
          <w:sz w:val="24"/>
          <w:lang w:eastAsia="zh-CN"/>
        </w:rPr>
      </w:pPr>
    </w:p>
    <w:p w14:paraId="660911A8" w14:textId="32A9B86A" w:rsidR="00F24BED" w:rsidRPr="00220A07" w:rsidRDefault="00F24BED" w:rsidP="00B2621A">
      <w:pPr>
        <w:pStyle w:val="Heading1"/>
        <w:numPr>
          <w:ilvl w:val="0"/>
          <w:numId w:val="28"/>
        </w:numPr>
      </w:pPr>
      <w:r w:rsidRPr="00220A07">
        <w:t>Sources of Assurance &amp; Early warning flags</w:t>
      </w:r>
    </w:p>
    <w:p w14:paraId="36807C00" w14:textId="1281B288" w:rsidR="00F24BED" w:rsidRPr="00220A07" w:rsidRDefault="00F24BED" w:rsidP="0068196F">
      <w:pPr>
        <w:ind w:left="426" w:firstLine="0"/>
        <w:jc w:val="left"/>
        <w:rPr>
          <w:rFonts w:cs="Arial"/>
          <w:iCs/>
          <w:color w:val="000000" w:themeColor="text1"/>
          <w:sz w:val="24"/>
          <w:lang w:eastAsia="zh-CN"/>
        </w:rPr>
      </w:pPr>
      <w:r w:rsidRPr="00220A07">
        <w:rPr>
          <w:rFonts w:cs="Arial"/>
          <w:iCs/>
          <w:color w:val="000000" w:themeColor="text1"/>
          <w:sz w:val="24"/>
          <w:lang w:eastAsia="zh-CN"/>
        </w:rPr>
        <w:t xml:space="preserve">Details should be provided of indicators that the risk controls are efficient and effective, along with sources of assurance over the controls for this risk. Details of what would indicate that the likelihood or the impact of the risk is increasing should be listed. </w:t>
      </w:r>
    </w:p>
    <w:p w14:paraId="14AAC122" w14:textId="75BFF1E4" w:rsidR="00F24BED" w:rsidRPr="00220A07" w:rsidRDefault="00F24BED" w:rsidP="0068196F">
      <w:pPr>
        <w:ind w:left="426" w:hanging="568"/>
        <w:jc w:val="left"/>
        <w:rPr>
          <w:rFonts w:cs="Arial"/>
          <w:iCs/>
          <w:color w:val="000000" w:themeColor="text1"/>
          <w:sz w:val="24"/>
          <w:lang w:eastAsia="zh-CN"/>
        </w:rPr>
      </w:pPr>
    </w:p>
    <w:p w14:paraId="6795F002" w14:textId="2EFF0FAA" w:rsidR="0034114B" w:rsidRPr="0034114B" w:rsidRDefault="00F24BED" w:rsidP="006E27AC">
      <w:pPr>
        <w:pStyle w:val="Heading1"/>
        <w:numPr>
          <w:ilvl w:val="0"/>
          <w:numId w:val="28"/>
        </w:numPr>
      </w:pPr>
      <w:r w:rsidRPr="00AE7D81">
        <w:t>Current Risk</w:t>
      </w:r>
    </w:p>
    <w:p w14:paraId="62C74CA4" w14:textId="77777777" w:rsidR="004A0C2A" w:rsidRDefault="00F24BED" w:rsidP="00145089">
      <w:pPr>
        <w:pStyle w:val="ListParagraph"/>
        <w:numPr>
          <w:ilvl w:val="1"/>
          <w:numId w:val="17"/>
        </w:numPr>
        <w:jc w:val="left"/>
        <w:rPr>
          <w:rFonts w:cs="Arial"/>
          <w:iCs/>
          <w:color w:val="000000" w:themeColor="text1"/>
          <w:sz w:val="24"/>
          <w:lang w:eastAsia="zh-CN"/>
        </w:rPr>
      </w:pPr>
      <w:r w:rsidRPr="00145089">
        <w:rPr>
          <w:rFonts w:cs="Arial"/>
          <w:iCs/>
          <w:color w:val="000000" w:themeColor="text1"/>
          <w:sz w:val="24"/>
          <w:lang w:eastAsia="zh-CN"/>
        </w:rPr>
        <w:t xml:space="preserve">A judgement should then be made on the effectiveness of the existing controls and therefore the impact </w:t>
      </w:r>
      <w:r w:rsidR="000F3602" w:rsidRPr="00145089">
        <w:rPr>
          <w:rFonts w:cs="Arial"/>
          <w:iCs/>
          <w:color w:val="000000" w:themeColor="text1"/>
          <w:sz w:val="24"/>
          <w:lang w:eastAsia="zh-CN"/>
        </w:rPr>
        <w:t>of those controls on the risk.</w:t>
      </w:r>
    </w:p>
    <w:p w14:paraId="7E8CB012" w14:textId="5FCF7CEE" w:rsidR="00AE691E" w:rsidRDefault="004A0C2A" w:rsidP="00145089">
      <w:pPr>
        <w:pStyle w:val="ListParagraph"/>
        <w:numPr>
          <w:ilvl w:val="1"/>
          <w:numId w:val="17"/>
        </w:numPr>
        <w:jc w:val="left"/>
        <w:rPr>
          <w:rFonts w:cs="Arial"/>
          <w:iCs/>
          <w:color w:val="000000" w:themeColor="text1"/>
          <w:sz w:val="24"/>
          <w:lang w:eastAsia="zh-CN"/>
        </w:rPr>
      </w:pPr>
      <w:r w:rsidRPr="004A0C2A">
        <w:rPr>
          <w:rFonts w:cs="Arial"/>
          <w:iCs/>
          <w:color w:val="000000" w:themeColor="text1"/>
          <w:sz w:val="24"/>
          <w:lang w:eastAsia="zh-CN"/>
        </w:rPr>
        <w:t xml:space="preserve">Some controls will be designed to reduce the likelihood of the risk occurring (for example, backing-up computer files to reduce the risk of loss of data). Others will be designed to reduce the severity of the impact (for example, insuring against the risk). Both the likelihood and severity should be assessed after </w:t>
      </w:r>
      <w:proofErr w:type="gramStart"/>
      <w:r w:rsidRPr="004A0C2A">
        <w:rPr>
          <w:rFonts w:cs="Arial"/>
          <w:iCs/>
          <w:color w:val="000000" w:themeColor="text1"/>
          <w:sz w:val="24"/>
          <w:lang w:eastAsia="zh-CN"/>
        </w:rPr>
        <w:t>taking into account</w:t>
      </w:r>
      <w:proofErr w:type="gramEnd"/>
      <w:r w:rsidRPr="004A0C2A">
        <w:rPr>
          <w:rFonts w:cs="Arial"/>
          <w:iCs/>
          <w:color w:val="000000" w:themeColor="text1"/>
          <w:sz w:val="24"/>
          <w:lang w:eastAsia="zh-CN"/>
        </w:rPr>
        <w:t xml:space="preserve"> the mitigating effect of controls in place. The multiplication of these revised figures gives the current risk</w:t>
      </w:r>
    </w:p>
    <w:p w14:paraId="764BA9A2" w14:textId="45A119CB" w:rsidR="004C5A87" w:rsidRPr="00220A07" w:rsidRDefault="004C5A87" w:rsidP="0034114B"/>
    <w:p w14:paraId="3BDACE63" w14:textId="56E99727" w:rsidR="00190227" w:rsidRPr="00AE7D81" w:rsidRDefault="000F3602" w:rsidP="00B2621A">
      <w:pPr>
        <w:pStyle w:val="Heading1"/>
        <w:numPr>
          <w:ilvl w:val="0"/>
          <w:numId w:val="17"/>
        </w:numPr>
      </w:pPr>
      <w:r w:rsidRPr="00AE7D81">
        <w:t>Change in status</w:t>
      </w:r>
    </w:p>
    <w:p w14:paraId="5A58849D" w14:textId="1C9E3857" w:rsidR="000F3602" w:rsidRPr="00220A07" w:rsidRDefault="000F3602" w:rsidP="0068196F">
      <w:pPr>
        <w:ind w:left="426" w:firstLine="0"/>
        <w:rPr>
          <w:rFonts w:cs="Arial"/>
          <w:color w:val="000000" w:themeColor="text1"/>
          <w:sz w:val="24"/>
          <w:lang w:eastAsia="zh-CN"/>
        </w:rPr>
      </w:pPr>
      <w:r w:rsidRPr="00220A07">
        <w:rPr>
          <w:rFonts w:cs="Arial"/>
          <w:color w:val="000000" w:themeColor="text1"/>
          <w:sz w:val="24"/>
          <w:lang w:eastAsia="zh-CN"/>
        </w:rPr>
        <w:t>Arrows should be used to indicate whether the current risk score has remained the same, increased or decreased when compared with the previous iteration of the risk register.</w:t>
      </w:r>
    </w:p>
    <w:p w14:paraId="26D50693" w14:textId="77777777" w:rsidR="00870EE3" w:rsidRPr="00220A07" w:rsidRDefault="00870EE3" w:rsidP="0068196F">
      <w:pPr>
        <w:spacing w:line="240" w:lineRule="auto"/>
        <w:ind w:left="426" w:hanging="568"/>
        <w:jc w:val="left"/>
        <w:rPr>
          <w:rFonts w:cs="Arial"/>
          <w:b/>
          <w:color w:val="000000" w:themeColor="text1"/>
          <w:sz w:val="24"/>
        </w:rPr>
      </w:pPr>
    </w:p>
    <w:p w14:paraId="55F8083F" w14:textId="6A5DCEB2" w:rsidR="00870EE3" w:rsidRPr="00AE7D81" w:rsidRDefault="00EE07F1" w:rsidP="00B2621A">
      <w:pPr>
        <w:pStyle w:val="Heading1"/>
        <w:numPr>
          <w:ilvl w:val="0"/>
          <w:numId w:val="17"/>
        </w:numPr>
      </w:pPr>
      <w:r w:rsidRPr="00AE7D81">
        <w:lastRenderedPageBreak/>
        <w:t xml:space="preserve">Risk </w:t>
      </w:r>
      <w:r w:rsidR="00870EE3" w:rsidRPr="00AE7D81">
        <w:t>Proximity</w:t>
      </w:r>
    </w:p>
    <w:p w14:paraId="276132CD" w14:textId="77777777" w:rsidR="00870EE3" w:rsidRPr="00220A07" w:rsidRDefault="00870EE3" w:rsidP="0068196F">
      <w:pPr>
        <w:spacing w:line="240" w:lineRule="auto"/>
        <w:ind w:left="426" w:firstLine="0"/>
        <w:jc w:val="left"/>
        <w:rPr>
          <w:rFonts w:cs="Arial"/>
          <w:color w:val="000000" w:themeColor="text1"/>
          <w:sz w:val="24"/>
        </w:rPr>
      </w:pPr>
      <w:r w:rsidRPr="00220A07">
        <w:rPr>
          <w:rFonts w:cs="Arial"/>
          <w:color w:val="000000" w:themeColor="text1"/>
          <w:sz w:val="24"/>
        </w:rPr>
        <w:t>Proximity is also an important factor to consider when evaluating risk.</w:t>
      </w:r>
    </w:p>
    <w:p w14:paraId="56E6BB1D" w14:textId="77777777" w:rsidR="00870EE3" w:rsidRPr="00220A07" w:rsidRDefault="00870EE3" w:rsidP="0068196F">
      <w:pPr>
        <w:spacing w:line="240" w:lineRule="auto"/>
        <w:ind w:left="426" w:hanging="568"/>
        <w:jc w:val="left"/>
        <w:rPr>
          <w:rFonts w:cs="Arial"/>
          <w:color w:val="000000" w:themeColor="text1"/>
          <w:sz w:val="24"/>
        </w:rPr>
      </w:pPr>
    </w:p>
    <w:p w14:paraId="6CA51CCD" w14:textId="40CBA511" w:rsidR="00870EE3" w:rsidRPr="00220A07" w:rsidRDefault="00870EE3" w:rsidP="0068196F">
      <w:pPr>
        <w:spacing w:line="240" w:lineRule="auto"/>
        <w:ind w:left="426" w:firstLine="0"/>
        <w:jc w:val="left"/>
        <w:rPr>
          <w:rFonts w:cs="Arial"/>
          <w:color w:val="000000" w:themeColor="text1"/>
          <w:sz w:val="24"/>
        </w:rPr>
      </w:pPr>
      <w:r w:rsidRPr="00220A07">
        <w:rPr>
          <w:rFonts w:cs="Arial"/>
          <w:color w:val="000000" w:themeColor="text1"/>
          <w:sz w:val="24"/>
        </w:rPr>
        <w:t xml:space="preserve">This is the expected lifecycle for the risk, i.e. when the risk is most likely to happen and after what time it will cease to be a risk. </w:t>
      </w:r>
      <w:r w:rsidR="00E443C0" w:rsidRPr="00220A07">
        <w:rPr>
          <w:rFonts w:cs="Arial"/>
          <w:color w:val="000000" w:themeColor="text1"/>
          <w:sz w:val="24"/>
        </w:rPr>
        <w:t xml:space="preserve"> </w:t>
      </w:r>
      <w:r w:rsidRPr="00220A07">
        <w:rPr>
          <w:rFonts w:cs="Arial"/>
          <w:color w:val="000000" w:themeColor="text1"/>
          <w:sz w:val="24"/>
        </w:rPr>
        <w:t>Some risks will be predicted to be further away in time tha</w:t>
      </w:r>
      <w:r w:rsidR="00E443C0" w:rsidRPr="00220A07">
        <w:rPr>
          <w:rFonts w:cs="Arial"/>
          <w:color w:val="000000" w:themeColor="text1"/>
          <w:sz w:val="24"/>
        </w:rPr>
        <w:t>n</w:t>
      </w:r>
      <w:r w:rsidRPr="00220A07">
        <w:rPr>
          <w:rFonts w:cs="Arial"/>
          <w:color w:val="000000" w:themeColor="text1"/>
          <w:sz w:val="24"/>
        </w:rPr>
        <w:t xml:space="preserve"> others, meaning that attention can be focused on the more immediate ones. The proximity should be scored as </w:t>
      </w:r>
      <w:proofErr w:type="gramStart"/>
      <w:r w:rsidRPr="00220A07">
        <w:rPr>
          <w:rFonts w:cs="Arial"/>
          <w:color w:val="000000" w:themeColor="text1"/>
          <w:sz w:val="24"/>
        </w:rPr>
        <w:t>below;</w:t>
      </w:r>
      <w:proofErr w:type="gramEnd"/>
    </w:p>
    <w:p w14:paraId="154ED970" w14:textId="77777777" w:rsidR="00870EE3" w:rsidRPr="00220A07" w:rsidRDefault="00870EE3" w:rsidP="00870EE3">
      <w:pPr>
        <w:spacing w:line="240" w:lineRule="auto"/>
        <w:ind w:left="0" w:firstLine="0"/>
        <w:rPr>
          <w:rFonts w:cs="Arial"/>
          <w:color w:val="000000" w:themeColor="text1"/>
          <w:sz w:val="24"/>
        </w:rPr>
      </w:pPr>
    </w:p>
    <w:tbl>
      <w:tblPr>
        <w:tblStyle w:val="TableGrid"/>
        <w:tblW w:w="0" w:type="auto"/>
        <w:tblInd w:w="-5" w:type="dxa"/>
        <w:tblLook w:val="04A0" w:firstRow="1" w:lastRow="0" w:firstColumn="1" w:lastColumn="0" w:noHBand="0" w:noVBand="1"/>
        <w:tblCaption w:val="Risk Proximity"/>
        <w:tblDescription w:val="The table includes 2 columns, the first one with the proximity ranked 1 to 4 and the second one with the number of months"/>
      </w:tblPr>
      <w:tblGrid>
        <w:gridCol w:w="4569"/>
        <w:gridCol w:w="4635"/>
      </w:tblGrid>
      <w:tr w:rsidR="0068196F" w:rsidRPr="00220A07" w14:paraId="7CA058B7" w14:textId="77777777" w:rsidTr="00BA2DD8">
        <w:tc>
          <w:tcPr>
            <w:tcW w:w="4569" w:type="dxa"/>
            <w:tcBorders>
              <w:top w:val="single" w:sz="4" w:space="0" w:color="auto"/>
              <w:left w:val="single" w:sz="4" w:space="0" w:color="auto"/>
              <w:bottom w:val="single" w:sz="4" w:space="0" w:color="auto"/>
              <w:right w:val="nil"/>
            </w:tcBorders>
            <w:shd w:val="clear" w:color="auto" w:fill="C6D9F1" w:themeFill="text2" w:themeFillTint="33"/>
          </w:tcPr>
          <w:p w14:paraId="79854674" w14:textId="5041932A" w:rsidR="00870EE3" w:rsidRPr="00220A07" w:rsidRDefault="00BA2DD8" w:rsidP="001724AA">
            <w:pPr>
              <w:spacing w:line="240" w:lineRule="auto"/>
              <w:rPr>
                <w:color w:val="000000" w:themeColor="text1"/>
                <w:sz w:val="24"/>
              </w:rPr>
            </w:pPr>
            <w:r w:rsidRPr="00220A07">
              <w:rPr>
                <w:color w:val="000000" w:themeColor="text1"/>
                <w:sz w:val="24"/>
              </w:rPr>
              <w:t>Proximity</w:t>
            </w:r>
          </w:p>
        </w:tc>
        <w:tc>
          <w:tcPr>
            <w:tcW w:w="4635" w:type="dxa"/>
            <w:tcBorders>
              <w:top w:val="single" w:sz="4" w:space="0" w:color="auto"/>
              <w:left w:val="nil"/>
              <w:bottom w:val="single" w:sz="4" w:space="0" w:color="auto"/>
              <w:right w:val="single" w:sz="4" w:space="0" w:color="auto"/>
            </w:tcBorders>
            <w:shd w:val="clear" w:color="auto" w:fill="C6D9F1" w:themeFill="text2" w:themeFillTint="33"/>
          </w:tcPr>
          <w:p w14:paraId="08ECB9CB" w14:textId="61732443" w:rsidR="00870EE3" w:rsidRPr="00220A07" w:rsidRDefault="00870EE3" w:rsidP="001724AA">
            <w:pPr>
              <w:spacing w:line="240" w:lineRule="auto"/>
              <w:rPr>
                <w:color w:val="000000" w:themeColor="text1"/>
                <w:sz w:val="24"/>
              </w:rPr>
            </w:pPr>
          </w:p>
        </w:tc>
      </w:tr>
      <w:tr w:rsidR="00BA2DD8" w:rsidRPr="00220A07" w14:paraId="2E291623" w14:textId="77777777" w:rsidTr="00BA2DD8">
        <w:tc>
          <w:tcPr>
            <w:tcW w:w="4569" w:type="dxa"/>
            <w:tcBorders>
              <w:top w:val="single" w:sz="4" w:space="0" w:color="auto"/>
            </w:tcBorders>
          </w:tcPr>
          <w:p w14:paraId="66135FC9" w14:textId="5A21A1C4" w:rsidR="00BA2DD8" w:rsidRPr="00220A07" w:rsidRDefault="00BA2DD8" w:rsidP="00BA2DD8">
            <w:pPr>
              <w:spacing w:line="240" w:lineRule="auto"/>
              <w:rPr>
                <w:color w:val="000000" w:themeColor="text1"/>
                <w:sz w:val="24"/>
              </w:rPr>
            </w:pPr>
            <w:r w:rsidRPr="00220A07">
              <w:rPr>
                <w:color w:val="000000" w:themeColor="text1"/>
                <w:sz w:val="24"/>
              </w:rPr>
              <w:t>1</w:t>
            </w:r>
          </w:p>
        </w:tc>
        <w:tc>
          <w:tcPr>
            <w:tcW w:w="4635" w:type="dxa"/>
            <w:tcBorders>
              <w:top w:val="single" w:sz="4" w:space="0" w:color="auto"/>
            </w:tcBorders>
          </w:tcPr>
          <w:p w14:paraId="104E7D49" w14:textId="5747CF5E" w:rsidR="00BA2DD8" w:rsidRPr="00220A07" w:rsidRDefault="00BA2DD8" w:rsidP="00BA2DD8">
            <w:pPr>
              <w:spacing w:line="240" w:lineRule="auto"/>
              <w:rPr>
                <w:color w:val="000000" w:themeColor="text1"/>
                <w:sz w:val="24"/>
              </w:rPr>
            </w:pPr>
            <w:r w:rsidRPr="00220A07">
              <w:rPr>
                <w:color w:val="000000" w:themeColor="text1"/>
                <w:sz w:val="24"/>
              </w:rPr>
              <w:t>0-3 months</w:t>
            </w:r>
          </w:p>
        </w:tc>
      </w:tr>
      <w:tr w:rsidR="00BA2DD8" w:rsidRPr="00220A07" w14:paraId="63FEF49E" w14:textId="77777777" w:rsidTr="00BA2DD8">
        <w:tc>
          <w:tcPr>
            <w:tcW w:w="4569" w:type="dxa"/>
          </w:tcPr>
          <w:p w14:paraId="2E78589F" w14:textId="77777777" w:rsidR="00BA2DD8" w:rsidRPr="00220A07" w:rsidRDefault="00BA2DD8" w:rsidP="00BA2DD8">
            <w:pPr>
              <w:spacing w:line="240" w:lineRule="auto"/>
              <w:rPr>
                <w:color w:val="000000" w:themeColor="text1"/>
                <w:sz w:val="24"/>
              </w:rPr>
            </w:pPr>
            <w:r w:rsidRPr="00220A07">
              <w:rPr>
                <w:color w:val="000000" w:themeColor="text1"/>
                <w:sz w:val="24"/>
              </w:rPr>
              <w:t>2</w:t>
            </w:r>
          </w:p>
        </w:tc>
        <w:tc>
          <w:tcPr>
            <w:tcW w:w="4635" w:type="dxa"/>
          </w:tcPr>
          <w:p w14:paraId="59EC9437" w14:textId="77777777" w:rsidR="00BA2DD8" w:rsidRPr="00220A07" w:rsidRDefault="00BA2DD8" w:rsidP="00BA2DD8">
            <w:pPr>
              <w:spacing w:line="240" w:lineRule="auto"/>
              <w:rPr>
                <w:color w:val="000000" w:themeColor="text1"/>
                <w:sz w:val="24"/>
              </w:rPr>
            </w:pPr>
            <w:r w:rsidRPr="00220A07">
              <w:rPr>
                <w:color w:val="000000" w:themeColor="text1"/>
                <w:sz w:val="24"/>
              </w:rPr>
              <w:t>3-6 months</w:t>
            </w:r>
          </w:p>
        </w:tc>
      </w:tr>
      <w:tr w:rsidR="00BA2DD8" w:rsidRPr="00220A07" w14:paraId="2FA549D2" w14:textId="77777777" w:rsidTr="00BA2DD8">
        <w:tc>
          <w:tcPr>
            <w:tcW w:w="4569" w:type="dxa"/>
          </w:tcPr>
          <w:p w14:paraId="46FB4E27" w14:textId="77777777" w:rsidR="00BA2DD8" w:rsidRPr="00220A07" w:rsidRDefault="00BA2DD8" w:rsidP="00BA2DD8">
            <w:pPr>
              <w:spacing w:line="240" w:lineRule="auto"/>
              <w:rPr>
                <w:color w:val="000000" w:themeColor="text1"/>
                <w:sz w:val="24"/>
              </w:rPr>
            </w:pPr>
            <w:r w:rsidRPr="00220A07">
              <w:rPr>
                <w:color w:val="000000" w:themeColor="text1"/>
                <w:sz w:val="24"/>
              </w:rPr>
              <w:t>3</w:t>
            </w:r>
          </w:p>
        </w:tc>
        <w:tc>
          <w:tcPr>
            <w:tcW w:w="4635" w:type="dxa"/>
          </w:tcPr>
          <w:p w14:paraId="31F21891" w14:textId="77777777" w:rsidR="00BA2DD8" w:rsidRPr="00220A07" w:rsidRDefault="00BA2DD8" w:rsidP="00BA2DD8">
            <w:pPr>
              <w:spacing w:line="240" w:lineRule="auto"/>
              <w:rPr>
                <w:color w:val="000000" w:themeColor="text1"/>
                <w:sz w:val="24"/>
              </w:rPr>
            </w:pPr>
            <w:r w:rsidRPr="00220A07">
              <w:rPr>
                <w:color w:val="000000" w:themeColor="text1"/>
                <w:sz w:val="24"/>
              </w:rPr>
              <w:t>6-12 months</w:t>
            </w:r>
          </w:p>
        </w:tc>
      </w:tr>
      <w:tr w:rsidR="00BA2DD8" w:rsidRPr="00220A07" w14:paraId="323F92F4" w14:textId="77777777" w:rsidTr="00BA2DD8">
        <w:tc>
          <w:tcPr>
            <w:tcW w:w="4569" w:type="dxa"/>
          </w:tcPr>
          <w:p w14:paraId="730DBA47" w14:textId="77777777" w:rsidR="00BA2DD8" w:rsidRPr="00220A07" w:rsidRDefault="00BA2DD8" w:rsidP="00BA2DD8">
            <w:pPr>
              <w:spacing w:line="240" w:lineRule="auto"/>
              <w:rPr>
                <w:color w:val="000000" w:themeColor="text1"/>
                <w:sz w:val="24"/>
              </w:rPr>
            </w:pPr>
            <w:r w:rsidRPr="00220A07">
              <w:rPr>
                <w:color w:val="000000" w:themeColor="text1"/>
                <w:sz w:val="24"/>
              </w:rPr>
              <w:t>4</w:t>
            </w:r>
          </w:p>
        </w:tc>
        <w:tc>
          <w:tcPr>
            <w:tcW w:w="4635" w:type="dxa"/>
          </w:tcPr>
          <w:p w14:paraId="70B03073" w14:textId="77777777" w:rsidR="00BA2DD8" w:rsidRPr="00220A07" w:rsidRDefault="00BA2DD8" w:rsidP="00BA2DD8">
            <w:pPr>
              <w:spacing w:line="240" w:lineRule="auto"/>
              <w:rPr>
                <w:color w:val="000000" w:themeColor="text1"/>
                <w:sz w:val="24"/>
              </w:rPr>
            </w:pPr>
            <w:r w:rsidRPr="00220A07">
              <w:rPr>
                <w:color w:val="000000" w:themeColor="text1"/>
                <w:sz w:val="24"/>
              </w:rPr>
              <w:t>1 year +</w:t>
            </w:r>
          </w:p>
        </w:tc>
      </w:tr>
    </w:tbl>
    <w:p w14:paraId="03D117F5" w14:textId="77777777" w:rsidR="00870EE3" w:rsidRPr="00220A07" w:rsidRDefault="00870EE3" w:rsidP="00D34087">
      <w:pPr>
        <w:ind w:left="0" w:firstLine="0"/>
        <w:rPr>
          <w:rFonts w:cs="Arial"/>
          <w:color w:val="000000" w:themeColor="text1"/>
          <w:sz w:val="24"/>
          <w:lang w:eastAsia="zh-CN"/>
        </w:rPr>
      </w:pPr>
    </w:p>
    <w:p w14:paraId="4BF609EC" w14:textId="77777777" w:rsidR="000F3602" w:rsidRPr="00220A07" w:rsidRDefault="000F3602" w:rsidP="000F3602">
      <w:pPr>
        <w:ind w:left="567" w:firstLine="0"/>
        <w:rPr>
          <w:rFonts w:cs="Arial"/>
          <w:color w:val="000000" w:themeColor="text1"/>
          <w:sz w:val="24"/>
          <w:lang w:eastAsia="zh-CN"/>
        </w:rPr>
      </w:pPr>
    </w:p>
    <w:p w14:paraId="556040D3" w14:textId="28EF6391" w:rsidR="000F3602" w:rsidRPr="00AE7D81" w:rsidRDefault="000F3602" w:rsidP="00B2621A">
      <w:pPr>
        <w:pStyle w:val="Heading1"/>
        <w:numPr>
          <w:ilvl w:val="0"/>
          <w:numId w:val="17"/>
        </w:numPr>
      </w:pPr>
      <w:r w:rsidRPr="00AE7D81">
        <w:t>Actions for Year ‘X’ of Strategic Plan</w:t>
      </w:r>
    </w:p>
    <w:p w14:paraId="53605313" w14:textId="268E293A" w:rsidR="000F3602" w:rsidRPr="00220A07" w:rsidRDefault="000F3602" w:rsidP="0068196F">
      <w:pPr>
        <w:ind w:left="426" w:firstLine="0"/>
        <w:rPr>
          <w:rFonts w:cs="Arial"/>
          <w:color w:val="000000" w:themeColor="text1"/>
          <w:sz w:val="24"/>
          <w:lang w:eastAsia="zh-CN"/>
        </w:rPr>
      </w:pPr>
      <w:r w:rsidRPr="00220A07">
        <w:rPr>
          <w:rFonts w:cs="Arial"/>
          <w:color w:val="000000" w:themeColor="text1"/>
          <w:sz w:val="24"/>
          <w:lang w:eastAsia="zh-CN"/>
        </w:rPr>
        <w:t xml:space="preserve">This column should be used to identify the actions that will be undertaken as part of the current year of the University’s Strategic Plan to mitigate the risk further. </w:t>
      </w:r>
    </w:p>
    <w:p w14:paraId="36D0698B" w14:textId="746DBA4E" w:rsidR="00680843" w:rsidRPr="00220A07" w:rsidRDefault="00680843" w:rsidP="0068196F">
      <w:pPr>
        <w:ind w:left="426" w:hanging="568"/>
        <w:rPr>
          <w:rFonts w:cs="Arial"/>
          <w:color w:val="000000" w:themeColor="text1"/>
          <w:sz w:val="24"/>
          <w:lang w:eastAsia="zh-CN"/>
        </w:rPr>
      </w:pPr>
    </w:p>
    <w:p w14:paraId="3091471C" w14:textId="73C6D46F" w:rsidR="00680843" w:rsidRPr="00AE7D81" w:rsidRDefault="00680843" w:rsidP="00B2621A">
      <w:pPr>
        <w:pStyle w:val="Heading1"/>
        <w:numPr>
          <w:ilvl w:val="0"/>
          <w:numId w:val="17"/>
        </w:numPr>
      </w:pPr>
      <w:r w:rsidRPr="00AE7D81">
        <w:t>Action Owner</w:t>
      </w:r>
    </w:p>
    <w:p w14:paraId="2DD0A34E" w14:textId="2EAAB9BF" w:rsidR="00680843" w:rsidRPr="00220A07" w:rsidRDefault="00680843" w:rsidP="0068196F">
      <w:pPr>
        <w:ind w:left="426" w:firstLine="0"/>
        <w:rPr>
          <w:rFonts w:cs="Arial"/>
          <w:color w:val="000000" w:themeColor="text1"/>
          <w:sz w:val="24"/>
          <w:lang w:eastAsia="zh-CN"/>
        </w:rPr>
      </w:pPr>
      <w:r w:rsidRPr="00220A07">
        <w:rPr>
          <w:rFonts w:cs="Arial"/>
          <w:color w:val="000000" w:themeColor="text1"/>
          <w:sz w:val="24"/>
          <w:lang w:eastAsia="zh-CN"/>
        </w:rPr>
        <w:t xml:space="preserve">This column should provide the details of the owners for each of the actions identified in ‘Actions for Year ‘X’ of </w:t>
      </w:r>
      <w:r w:rsidR="00777B2C" w:rsidRPr="00220A07">
        <w:rPr>
          <w:rFonts w:cs="Arial"/>
          <w:color w:val="000000" w:themeColor="text1"/>
          <w:sz w:val="24"/>
          <w:lang w:eastAsia="zh-CN"/>
        </w:rPr>
        <w:t xml:space="preserve">the current University </w:t>
      </w:r>
      <w:r w:rsidRPr="00220A07">
        <w:rPr>
          <w:rFonts w:cs="Arial"/>
          <w:color w:val="000000" w:themeColor="text1"/>
          <w:sz w:val="24"/>
          <w:lang w:eastAsia="zh-CN"/>
        </w:rPr>
        <w:t>Strategic Plan.</w:t>
      </w:r>
    </w:p>
    <w:p w14:paraId="1D5F52F5" w14:textId="77777777" w:rsidR="00680843" w:rsidRPr="00220A07" w:rsidRDefault="00680843" w:rsidP="0068196F">
      <w:pPr>
        <w:ind w:left="426" w:hanging="568"/>
        <w:rPr>
          <w:rFonts w:cs="Arial"/>
          <w:color w:val="000000" w:themeColor="text1"/>
          <w:sz w:val="24"/>
          <w:lang w:eastAsia="zh-CN"/>
        </w:rPr>
      </w:pPr>
    </w:p>
    <w:p w14:paraId="091DDD72" w14:textId="47841F8D" w:rsidR="00680843" w:rsidRPr="00220A07" w:rsidRDefault="00680843" w:rsidP="00B2621A">
      <w:pPr>
        <w:pStyle w:val="Heading1"/>
        <w:numPr>
          <w:ilvl w:val="0"/>
          <w:numId w:val="17"/>
        </w:numPr>
      </w:pPr>
      <w:r w:rsidRPr="00220A07">
        <w:t>Due date/ completion status</w:t>
      </w:r>
    </w:p>
    <w:p w14:paraId="4E269E7C" w14:textId="3462CD30" w:rsidR="000F3602" w:rsidRPr="0034114B" w:rsidRDefault="00680843" w:rsidP="0034114B">
      <w:pPr>
        <w:ind w:left="426" w:firstLine="0"/>
        <w:rPr>
          <w:rFonts w:cs="Arial"/>
          <w:color w:val="000000" w:themeColor="text1"/>
          <w:sz w:val="24"/>
          <w:lang w:eastAsia="zh-CN"/>
        </w:rPr>
      </w:pPr>
      <w:r w:rsidRPr="0034114B">
        <w:rPr>
          <w:rFonts w:cs="Arial"/>
          <w:color w:val="000000" w:themeColor="text1"/>
          <w:sz w:val="24"/>
          <w:lang w:eastAsia="zh-CN"/>
        </w:rPr>
        <w:t xml:space="preserve">Details of when each of the identified actions are due for completion, alternatively mark as complete. Completed actions should only be listed as such for one reporting cycle, following this, completed actions should be removed from the register or listed in the ‘existing controls’ column as appropriate. </w:t>
      </w:r>
    </w:p>
    <w:p w14:paraId="592CC751" w14:textId="77777777" w:rsidR="00680843" w:rsidRPr="00220A07" w:rsidRDefault="00680843" w:rsidP="0068196F">
      <w:pPr>
        <w:ind w:left="426" w:hanging="568"/>
        <w:rPr>
          <w:rFonts w:cs="Arial"/>
          <w:color w:val="000000" w:themeColor="text1"/>
          <w:sz w:val="24"/>
          <w:lang w:eastAsia="zh-CN"/>
        </w:rPr>
      </w:pPr>
    </w:p>
    <w:p w14:paraId="3E5A8D0A" w14:textId="22617E6D" w:rsidR="000F3602" w:rsidRPr="00AE7D81" w:rsidRDefault="000F3602" w:rsidP="00B2621A">
      <w:pPr>
        <w:pStyle w:val="Heading1"/>
        <w:numPr>
          <w:ilvl w:val="0"/>
          <w:numId w:val="17"/>
        </w:numPr>
      </w:pPr>
      <w:r w:rsidRPr="00AE7D81">
        <w:t>Net Risk</w:t>
      </w:r>
    </w:p>
    <w:p w14:paraId="676389D8" w14:textId="4A50C4EF" w:rsidR="000F3602" w:rsidRDefault="000F3602" w:rsidP="0068196F">
      <w:pPr>
        <w:ind w:left="426" w:firstLine="0"/>
        <w:rPr>
          <w:rFonts w:cs="Arial"/>
          <w:color w:val="000000" w:themeColor="text1"/>
          <w:sz w:val="24"/>
          <w:lang w:eastAsia="zh-CN"/>
        </w:rPr>
      </w:pPr>
      <w:r w:rsidRPr="00220A07">
        <w:rPr>
          <w:rFonts w:cs="Arial"/>
          <w:color w:val="000000" w:themeColor="text1"/>
          <w:sz w:val="24"/>
          <w:lang w:eastAsia="zh-CN"/>
        </w:rPr>
        <w:t>Net risk is the amount of </w:t>
      </w:r>
      <w:r w:rsidR="0080324C" w:rsidRPr="00220A07">
        <w:rPr>
          <w:rFonts w:cs="Arial"/>
          <w:color w:val="000000" w:themeColor="text1"/>
          <w:sz w:val="24"/>
          <w:lang w:eastAsia="zh-CN"/>
        </w:rPr>
        <w:t>score identifying the amount of risk</w:t>
      </w:r>
      <w:r w:rsidRPr="00220A07">
        <w:rPr>
          <w:rFonts w:cs="Arial"/>
          <w:color w:val="000000" w:themeColor="text1"/>
          <w:sz w:val="24"/>
          <w:lang w:eastAsia="zh-CN"/>
        </w:rPr>
        <w:t> that is expected to remain after current controls and actions identified for the current year of the st</w:t>
      </w:r>
      <w:r w:rsidR="0080324C" w:rsidRPr="00220A07">
        <w:rPr>
          <w:rFonts w:cs="Arial"/>
          <w:color w:val="000000" w:themeColor="text1"/>
          <w:sz w:val="24"/>
          <w:lang w:eastAsia="zh-CN"/>
        </w:rPr>
        <w:t>rategic plan are accounted for using the risk scoring matrix previously provided under section three 3 ‘gross risk’.</w:t>
      </w:r>
    </w:p>
    <w:p w14:paraId="179FD753" w14:textId="6A143E1A" w:rsidR="0034114B" w:rsidRDefault="0034114B" w:rsidP="0068196F">
      <w:pPr>
        <w:ind w:left="426" w:firstLine="0"/>
        <w:rPr>
          <w:rFonts w:cs="Arial"/>
          <w:color w:val="000000" w:themeColor="text1"/>
          <w:sz w:val="24"/>
          <w:lang w:eastAsia="zh-CN"/>
        </w:rPr>
      </w:pPr>
    </w:p>
    <w:p w14:paraId="259F5911" w14:textId="754B708C" w:rsidR="0034114B" w:rsidRPr="0034114B" w:rsidRDefault="0034114B" w:rsidP="0068196F">
      <w:pPr>
        <w:ind w:left="426" w:firstLine="0"/>
        <w:rPr>
          <w:rFonts w:cs="Arial"/>
          <w:b/>
          <w:bCs/>
          <w:color w:val="000000" w:themeColor="text1"/>
          <w:sz w:val="24"/>
          <w:lang w:eastAsia="zh-CN"/>
        </w:rPr>
      </w:pPr>
      <w:r w:rsidRPr="0034114B">
        <w:rPr>
          <w:rFonts w:cs="Arial"/>
          <w:b/>
          <w:bCs/>
          <w:color w:val="000000" w:themeColor="text1"/>
          <w:sz w:val="24"/>
          <w:lang w:eastAsia="zh-CN"/>
        </w:rPr>
        <w:t>Deciding whether net risk is at a tolerable level</w:t>
      </w:r>
    </w:p>
    <w:p w14:paraId="438E8382" w14:textId="77777777" w:rsidR="0080324C" w:rsidRPr="00220A07" w:rsidRDefault="0080324C" w:rsidP="0068196F">
      <w:pPr>
        <w:ind w:left="426" w:hanging="568"/>
        <w:rPr>
          <w:rFonts w:cs="Arial"/>
          <w:color w:val="000000" w:themeColor="text1"/>
          <w:sz w:val="24"/>
          <w:lang w:eastAsia="zh-CN"/>
        </w:rPr>
      </w:pPr>
    </w:p>
    <w:p w14:paraId="170D911C" w14:textId="3C9F6AE0" w:rsidR="009C3D1F" w:rsidRPr="0034114B" w:rsidRDefault="004C5A87" w:rsidP="0034114B">
      <w:pPr>
        <w:ind w:left="426" w:firstLine="0"/>
        <w:rPr>
          <w:rFonts w:cs="Arial"/>
          <w:color w:val="000000" w:themeColor="text1"/>
          <w:sz w:val="24"/>
          <w:lang w:eastAsia="zh-CN"/>
        </w:rPr>
      </w:pPr>
      <w:r w:rsidRPr="0034114B">
        <w:rPr>
          <w:rFonts w:cs="Arial"/>
          <w:color w:val="000000" w:themeColor="text1"/>
          <w:sz w:val="24"/>
          <w:lang w:eastAsia="zh-CN"/>
        </w:rPr>
        <w:t>Ideally, activities with a residual risk score of 12 (i</w:t>
      </w:r>
      <w:r w:rsidR="0022369C" w:rsidRPr="0034114B">
        <w:rPr>
          <w:rFonts w:cs="Arial"/>
          <w:color w:val="000000" w:themeColor="text1"/>
          <w:sz w:val="24"/>
          <w:lang w:eastAsia="zh-CN"/>
        </w:rPr>
        <w:t>.</w:t>
      </w:r>
      <w:r w:rsidRPr="0034114B">
        <w:rPr>
          <w:rFonts w:cs="Arial"/>
          <w:color w:val="000000" w:themeColor="text1"/>
          <w:sz w:val="24"/>
          <w:lang w:eastAsia="zh-CN"/>
        </w:rPr>
        <w:t>e</w:t>
      </w:r>
      <w:r w:rsidR="0022369C" w:rsidRPr="0034114B">
        <w:rPr>
          <w:rFonts w:cs="Arial"/>
          <w:color w:val="000000" w:themeColor="text1"/>
          <w:sz w:val="24"/>
          <w:lang w:eastAsia="zh-CN"/>
        </w:rPr>
        <w:t>.</w:t>
      </w:r>
      <w:r w:rsidRPr="0034114B">
        <w:rPr>
          <w:rFonts w:cs="Arial"/>
          <w:color w:val="000000" w:themeColor="text1"/>
          <w:sz w:val="24"/>
          <w:lang w:eastAsia="zh-CN"/>
        </w:rPr>
        <w:t xml:space="preserve"> those in ‘the red’) or more would not be tolerated; however, the University is operating in a </w:t>
      </w:r>
      <w:r w:rsidR="008D21BA" w:rsidRPr="0034114B">
        <w:rPr>
          <w:rFonts w:cs="Arial"/>
          <w:color w:val="000000" w:themeColor="text1"/>
          <w:sz w:val="24"/>
          <w:lang w:eastAsia="zh-CN"/>
        </w:rPr>
        <w:t>fast-changing</w:t>
      </w:r>
      <w:r w:rsidRPr="0034114B">
        <w:rPr>
          <w:rFonts w:cs="Arial"/>
          <w:color w:val="000000" w:themeColor="text1"/>
          <w:sz w:val="24"/>
          <w:lang w:eastAsia="zh-CN"/>
        </w:rPr>
        <w:t xml:space="preserve"> environment and faces </w:t>
      </w:r>
      <w:proofErr w:type="gramStart"/>
      <w:r w:rsidRPr="0034114B">
        <w:rPr>
          <w:rFonts w:cs="Arial"/>
          <w:color w:val="000000" w:themeColor="text1"/>
          <w:sz w:val="24"/>
          <w:lang w:eastAsia="zh-CN"/>
        </w:rPr>
        <w:t>a number of</w:t>
      </w:r>
      <w:proofErr w:type="gramEnd"/>
      <w:r w:rsidRPr="0034114B">
        <w:rPr>
          <w:rFonts w:cs="Arial"/>
          <w:color w:val="000000" w:themeColor="text1"/>
          <w:sz w:val="24"/>
          <w:lang w:eastAsia="zh-CN"/>
        </w:rPr>
        <w:t xml:space="preserve"> significant challenges both at a sector level and specific to </w:t>
      </w:r>
      <w:r w:rsidR="00363AE3" w:rsidRPr="0034114B">
        <w:rPr>
          <w:rFonts w:cs="Arial"/>
          <w:color w:val="000000" w:themeColor="text1"/>
          <w:sz w:val="24"/>
          <w:lang w:eastAsia="zh-CN"/>
        </w:rPr>
        <w:t>London Met</w:t>
      </w:r>
      <w:r w:rsidRPr="0034114B">
        <w:rPr>
          <w:rFonts w:cs="Arial"/>
          <w:color w:val="000000" w:themeColor="text1"/>
          <w:sz w:val="24"/>
          <w:lang w:eastAsia="zh-CN"/>
        </w:rPr>
        <w:t>.  The University is therefore prepared to tolerate activities with a residual risk rating up to and including 20</w:t>
      </w:r>
      <w:r w:rsidR="00363AE3" w:rsidRPr="0034114B">
        <w:rPr>
          <w:rFonts w:cs="Arial"/>
          <w:color w:val="000000" w:themeColor="text1"/>
          <w:sz w:val="24"/>
          <w:lang w:eastAsia="zh-CN"/>
        </w:rPr>
        <w:t>, provided controls and actions to reduce the risk are in place and are monitored regularly for their effectiveness</w:t>
      </w:r>
      <w:r w:rsidR="0022369C" w:rsidRPr="0034114B">
        <w:rPr>
          <w:rFonts w:cs="Arial"/>
          <w:color w:val="000000" w:themeColor="text1"/>
          <w:sz w:val="24"/>
          <w:lang w:eastAsia="zh-CN"/>
        </w:rPr>
        <w:t>.</w:t>
      </w:r>
    </w:p>
    <w:p w14:paraId="25EB630B" w14:textId="77777777" w:rsidR="0034114B" w:rsidRDefault="0034114B" w:rsidP="0034114B"/>
    <w:p w14:paraId="49CFD7BC" w14:textId="11A94C28" w:rsidR="00190227" w:rsidRDefault="00E443C0" w:rsidP="0034114B">
      <w:pPr>
        <w:ind w:left="426" w:firstLine="0"/>
        <w:rPr>
          <w:rFonts w:cs="Arial"/>
          <w:b/>
          <w:bCs/>
          <w:color w:val="000000" w:themeColor="text1"/>
          <w:sz w:val="24"/>
          <w:lang w:eastAsia="zh-CN"/>
        </w:rPr>
      </w:pPr>
      <w:r w:rsidRPr="0034114B">
        <w:rPr>
          <w:rFonts w:cs="Arial"/>
          <w:b/>
          <w:bCs/>
          <w:color w:val="000000" w:themeColor="text1"/>
          <w:sz w:val="24"/>
          <w:lang w:eastAsia="zh-CN"/>
        </w:rPr>
        <w:t>Net</w:t>
      </w:r>
      <w:r w:rsidR="00D174E7" w:rsidRPr="0034114B">
        <w:rPr>
          <w:rFonts w:cs="Arial"/>
          <w:b/>
          <w:bCs/>
          <w:color w:val="000000" w:themeColor="text1"/>
          <w:sz w:val="24"/>
          <w:lang w:eastAsia="zh-CN"/>
        </w:rPr>
        <w:t xml:space="preserve"> r</w:t>
      </w:r>
      <w:r w:rsidR="005B37B1" w:rsidRPr="0034114B">
        <w:rPr>
          <w:rFonts w:cs="Arial"/>
          <w:b/>
          <w:bCs/>
          <w:color w:val="000000" w:themeColor="text1"/>
          <w:sz w:val="24"/>
          <w:lang w:eastAsia="zh-CN"/>
        </w:rPr>
        <w:t>isk tolerability</w:t>
      </w:r>
      <w:r w:rsidR="000F3602" w:rsidRPr="0034114B">
        <w:rPr>
          <w:rFonts w:cs="Arial"/>
          <w:b/>
          <w:bCs/>
          <w:color w:val="000000" w:themeColor="text1"/>
          <w:sz w:val="24"/>
          <w:lang w:eastAsia="zh-CN"/>
        </w:rPr>
        <w:t xml:space="preserve"> and reporting</w:t>
      </w:r>
    </w:p>
    <w:p w14:paraId="26DB5F18" w14:textId="77777777" w:rsidR="0034114B" w:rsidRPr="0034114B" w:rsidRDefault="0034114B" w:rsidP="0034114B">
      <w:pPr>
        <w:ind w:left="426" w:firstLine="0"/>
        <w:rPr>
          <w:rFonts w:cs="Arial"/>
          <w:b/>
          <w:bCs/>
          <w:color w:val="000000" w:themeColor="text1"/>
          <w:sz w:val="24"/>
          <w:lang w:eastAsia="zh-CN"/>
        </w:rPr>
      </w:pPr>
    </w:p>
    <w:p w14:paraId="45942CC0" w14:textId="77777777" w:rsidR="005B37B1" w:rsidRPr="00220A07" w:rsidRDefault="005B37B1" w:rsidP="0068196F">
      <w:pPr>
        <w:tabs>
          <w:tab w:val="left" w:pos="142"/>
          <w:tab w:val="left" w:pos="709"/>
        </w:tabs>
        <w:ind w:left="426" w:firstLine="0"/>
        <w:jc w:val="left"/>
        <w:rPr>
          <w:rFonts w:cs="Arial"/>
          <w:color w:val="000000" w:themeColor="text1"/>
          <w:sz w:val="24"/>
        </w:rPr>
      </w:pPr>
      <w:r w:rsidRPr="00220A07">
        <w:rPr>
          <w:rFonts w:cs="Arial"/>
          <w:b/>
          <w:color w:val="000000" w:themeColor="text1"/>
          <w:sz w:val="24"/>
        </w:rPr>
        <w:t>Green</w:t>
      </w:r>
      <w:r w:rsidR="003B2A2A" w:rsidRPr="00220A07">
        <w:rPr>
          <w:rFonts w:cs="Arial"/>
          <w:b/>
          <w:color w:val="000000" w:themeColor="text1"/>
          <w:sz w:val="24"/>
        </w:rPr>
        <w:t xml:space="preserve"> </w:t>
      </w:r>
      <w:r w:rsidR="00062794" w:rsidRPr="00220A07">
        <w:rPr>
          <w:rFonts w:cs="Arial"/>
          <w:color w:val="000000" w:themeColor="text1"/>
          <w:sz w:val="24"/>
        </w:rPr>
        <w:t>activities</w:t>
      </w:r>
      <w:r w:rsidRPr="00220A07">
        <w:rPr>
          <w:rFonts w:cs="Arial"/>
          <w:color w:val="000000" w:themeColor="text1"/>
          <w:sz w:val="24"/>
        </w:rPr>
        <w:t xml:space="preserve"> require no further action</w:t>
      </w:r>
      <w:r w:rsidR="003B2A2A" w:rsidRPr="00220A07">
        <w:rPr>
          <w:rFonts w:cs="Arial"/>
          <w:color w:val="000000" w:themeColor="text1"/>
          <w:sz w:val="24"/>
        </w:rPr>
        <w:t>.</w:t>
      </w:r>
    </w:p>
    <w:p w14:paraId="60859957" w14:textId="77777777" w:rsidR="005B37B1" w:rsidRPr="00220A07" w:rsidRDefault="005B37B1" w:rsidP="0068196F">
      <w:pPr>
        <w:tabs>
          <w:tab w:val="left" w:pos="142"/>
          <w:tab w:val="left" w:pos="709"/>
        </w:tabs>
        <w:ind w:left="426" w:firstLine="0"/>
        <w:jc w:val="left"/>
        <w:rPr>
          <w:rFonts w:cs="Arial"/>
          <w:color w:val="000000" w:themeColor="text1"/>
          <w:sz w:val="24"/>
        </w:rPr>
      </w:pPr>
      <w:r w:rsidRPr="00220A07">
        <w:rPr>
          <w:rFonts w:cs="Arial"/>
          <w:b/>
          <w:color w:val="000000" w:themeColor="text1"/>
          <w:sz w:val="24"/>
        </w:rPr>
        <w:t>Yellow</w:t>
      </w:r>
      <w:r w:rsidRPr="00220A07">
        <w:rPr>
          <w:rFonts w:cs="Arial"/>
          <w:color w:val="000000" w:themeColor="text1"/>
          <w:sz w:val="24"/>
        </w:rPr>
        <w:t xml:space="preserve"> </w:t>
      </w:r>
      <w:r w:rsidR="00062794" w:rsidRPr="00220A07">
        <w:rPr>
          <w:rFonts w:cs="Arial"/>
          <w:color w:val="000000" w:themeColor="text1"/>
          <w:sz w:val="24"/>
        </w:rPr>
        <w:t>activities</w:t>
      </w:r>
      <w:r w:rsidRPr="00220A07">
        <w:rPr>
          <w:rFonts w:cs="Arial"/>
          <w:color w:val="000000" w:themeColor="text1"/>
          <w:sz w:val="24"/>
        </w:rPr>
        <w:t xml:space="preserve"> should be monitored and managed down to green where it is considered practical and cost-effective</w:t>
      </w:r>
      <w:r w:rsidR="003B2A2A" w:rsidRPr="00220A07">
        <w:rPr>
          <w:rFonts w:cs="Arial"/>
          <w:color w:val="000000" w:themeColor="text1"/>
          <w:sz w:val="24"/>
        </w:rPr>
        <w:t>.</w:t>
      </w:r>
    </w:p>
    <w:p w14:paraId="00588569" w14:textId="32E052EC" w:rsidR="005B37B1" w:rsidRPr="00220A07" w:rsidRDefault="005B37B1" w:rsidP="0068196F">
      <w:pPr>
        <w:tabs>
          <w:tab w:val="left" w:pos="142"/>
          <w:tab w:val="left" w:pos="709"/>
        </w:tabs>
        <w:ind w:left="426" w:firstLine="0"/>
        <w:jc w:val="left"/>
        <w:rPr>
          <w:rFonts w:cs="Arial"/>
          <w:color w:val="000000" w:themeColor="text1"/>
          <w:sz w:val="24"/>
        </w:rPr>
      </w:pPr>
      <w:r w:rsidRPr="00220A07">
        <w:rPr>
          <w:rFonts w:cs="Arial"/>
          <w:b/>
          <w:color w:val="000000" w:themeColor="text1"/>
          <w:sz w:val="24"/>
        </w:rPr>
        <w:t>Red</w:t>
      </w:r>
      <w:r w:rsidRPr="00220A07">
        <w:rPr>
          <w:rFonts w:cs="Arial"/>
          <w:color w:val="000000" w:themeColor="text1"/>
          <w:sz w:val="24"/>
        </w:rPr>
        <w:t xml:space="preserve"> </w:t>
      </w:r>
      <w:r w:rsidR="00062794" w:rsidRPr="00220A07">
        <w:rPr>
          <w:rFonts w:cs="Arial"/>
          <w:color w:val="000000" w:themeColor="text1"/>
          <w:sz w:val="24"/>
        </w:rPr>
        <w:t>activities</w:t>
      </w:r>
      <w:r w:rsidRPr="00220A07">
        <w:rPr>
          <w:rFonts w:cs="Arial"/>
          <w:color w:val="000000" w:themeColor="text1"/>
          <w:sz w:val="24"/>
        </w:rPr>
        <w:t xml:space="preserve"> require immediate a</w:t>
      </w:r>
      <w:r w:rsidR="00712982" w:rsidRPr="00220A07">
        <w:rPr>
          <w:rFonts w:cs="Arial"/>
          <w:color w:val="000000" w:themeColor="text1"/>
          <w:sz w:val="24"/>
        </w:rPr>
        <w:t>ttention</w:t>
      </w:r>
      <w:r w:rsidR="00062794" w:rsidRPr="00220A07">
        <w:rPr>
          <w:rFonts w:cs="Arial"/>
          <w:color w:val="000000" w:themeColor="text1"/>
          <w:sz w:val="24"/>
        </w:rPr>
        <w:t xml:space="preserve"> and should be reported to the </w:t>
      </w:r>
      <w:r w:rsidR="0022369C" w:rsidRPr="00220A07">
        <w:rPr>
          <w:rFonts w:cs="Arial"/>
          <w:color w:val="000000" w:themeColor="text1"/>
          <w:sz w:val="24"/>
        </w:rPr>
        <w:t>Senior Leadership Team or Risk Champions Group as appropriate</w:t>
      </w:r>
      <w:r w:rsidR="00712982" w:rsidRPr="00220A07">
        <w:rPr>
          <w:rFonts w:cs="Arial"/>
          <w:color w:val="000000" w:themeColor="text1"/>
          <w:sz w:val="24"/>
        </w:rPr>
        <w:t>, to ensure that controls and actions to reduce the risk are in place</w:t>
      </w:r>
      <w:r w:rsidR="0022369C" w:rsidRPr="00220A07">
        <w:rPr>
          <w:rFonts w:cs="Arial"/>
          <w:color w:val="000000" w:themeColor="text1"/>
          <w:sz w:val="24"/>
        </w:rPr>
        <w:t>. Th</w:t>
      </w:r>
      <w:r w:rsidR="00062794" w:rsidRPr="00220A07">
        <w:rPr>
          <w:rFonts w:cs="Arial"/>
          <w:color w:val="000000" w:themeColor="text1"/>
          <w:sz w:val="24"/>
        </w:rPr>
        <w:t>e activity may be allowed to continue given the current environment the University operates in.</w:t>
      </w:r>
    </w:p>
    <w:p w14:paraId="360454BC" w14:textId="77777777" w:rsidR="00FE2F4F" w:rsidRPr="00220A07" w:rsidRDefault="00062794" w:rsidP="0068196F">
      <w:pPr>
        <w:tabs>
          <w:tab w:val="left" w:pos="142"/>
          <w:tab w:val="left" w:pos="709"/>
        </w:tabs>
        <w:ind w:left="426" w:firstLine="0"/>
        <w:jc w:val="left"/>
        <w:rPr>
          <w:rFonts w:cs="Arial"/>
          <w:color w:val="000000" w:themeColor="text1"/>
          <w:sz w:val="24"/>
        </w:rPr>
      </w:pPr>
      <w:r w:rsidRPr="00220A07">
        <w:rPr>
          <w:rFonts w:cs="Arial"/>
          <w:b/>
          <w:bCs/>
          <w:color w:val="000000" w:themeColor="text1"/>
          <w:sz w:val="24"/>
        </w:rPr>
        <w:t>Black</w:t>
      </w:r>
      <w:r w:rsidRPr="00220A07">
        <w:rPr>
          <w:rFonts w:cs="Arial"/>
          <w:color w:val="000000" w:themeColor="text1"/>
          <w:sz w:val="24"/>
        </w:rPr>
        <w:t xml:space="preserve"> activities must immediately be </w:t>
      </w:r>
      <w:r w:rsidR="00782B1A" w:rsidRPr="00220A07">
        <w:rPr>
          <w:rFonts w:cs="Arial"/>
          <w:color w:val="000000" w:themeColor="text1"/>
          <w:sz w:val="24"/>
        </w:rPr>
        <w:t>referred to the V</w:t>
      </w:r>
      <w:r w:rsidR="00EB5FDF" w:rsidRPr="00220A07">
        <w:rPr>
          <w:rFonts w:cs="Arial"/>
          <w:color w:val="000000" w:themeColor="text1"/>
          <w:sz w:val="24"/>
        </w:rPr>
        <w:t xml:space="preserve">ice </w:t>
      </w:r>
      <w:r w:rsidR="00782B1A" w:rsidRPr="00220A07">
        <w:rPr>
          <w:rFonts w:cs="Arial"/>
          <w:color w:val="000000" w:themeColor="text1"/>
          <w:sz w:val="24"/>
        </w:rPr>
        <w:t>C</w:t>
      </w:r>
      <w:r w:rsidR="00EB5FDF" w:rsidRPr="00220A07">
        <w:rPr>
          <w:rFonts w:cs="Arial"/>
          <w:color w:val="000000" w:themeColor="text1"/>
          <w:sz w:val="24"/>
        </w:rPr>
        <w:t>hancellor</w:t>
      </w:r>
      <w:r w:rsidR="00782B1A" w:rsidRPr="00220A07">
        <w:rPr>
          <w:rFonts w:cs="Arial"/>
          <w:color w:val="000000" w:themeColor="text1"/>
          <w:sz w:val="24"/>
        </w:rPr>
        <w:t xml:space="preserve"> </w:t>
      </w:r>
      <w:r w:rsidR="00BF25C8" w:rsidRPr="00220A07">
        <w:rPr>
          <w:rFonts w:cs="Arial"/>
          <w:color w:val="000000" w:themeColor="text1"/>
          <w:sz w:val="24"/>
        </w:rPr>
        <w:t xml:space="preserve">who will then escalate to the </w:t>
      </w:r>
      <w:r w:rsidR="00782B1A" w:rsidRPr="00220A07">
        <w:rPr>
          <w:rFonts w:cs="Arial"/>
          <w:color w:val="000000" w:themeColor="text1"/>
          <w:sz w:val="24"/>
        </w:rPr>
        <w:t xml:space="preserve">Chair of </w:t>
      </w:r>
      <w:r w:rsidR="00BE1A95" w:rsidRPr="00220A07">
        <w:rPr>
          <w:rFonts w:cs="Arial"/>
          <w:color w:val="000000" w:themeColor="text1"/>
          <w:sz w:val="24"/>
        </w:rPr>
        <w:t xml:space="preserve">the Board of </w:t>
      </w:r>
      <w:r w:rsidR="00782B1A" w:rsidRPr="00220A07">
        <w:rPr>
          <w:rFonts w:cs="Arial"/>
          <w:color w:val="000000" w:themeColor="text1"/>
          <w:sz w:val="24"/>
        </w:rPr>
        <w:t>Governors</w:t>
      </w:r>
      <w:r w:rsidR="005B37B1" w:rsidRPr="00220A07">
        <w:rPr>
          <w:rFonts w:cs="Arial"/>
          <w:color w:val="000000" w:themeColor="text1"/>
          <w:sz w:val="24"/>
        </w:rPr>
        <w:t>.</w:t>
      </w:r>
    </w:p>
    <w:p w14:paraId="55CEA354" w14:textId="77777777" w:rsidR="00FE2F4F" w:rsidRPr="00220A07" w:rsidRDefault="00FE2F4F" w:rsidP="0068196F">
      <w:pPr>
        <w:tabs>
          <w:tab w:val="left" w:pos="142"/>
          <w:tab w:val="left" w:pos="709"/>
        </w:tabs>
        <w:ind w:left="426" w:firstLine="0"/>
        <w:jc w:val="left"/>
        <w:rPr>
          <w:rFonts w:cs="Arial"/>
          <w:color w:val="000000" w:themeColor="text1"/>
          <w:sz w:val="24"/>
        </w:rPr>
      </w:pPr>
    </w:p>
    <w:p w14:paraId="1C823ADC" w14:textId="6290A4F2" w:rsidR="007123B6" w:rsidRPr="00220A07" w:rsidRDefault="007123B6" w:rsidP="0068196F">
      <w:pPr>
        <w:tabs>
          <w:tab w:val="left" w:pos="142"/>
          <w:tab w:val="left" w:pos="709"/>
        </w:tabs>
        <w:ind w:left="426" w:firstLine="0"/>
        <w:jc w:val="left"/>
        <w:rPr>
          <w:rFonts w:cs="Arial"/>
          <w:strike/>
          <w:color w:val="000000" w:themeColor="text1"/>
          <w:sz w:val="24"/>
        </w:rPr>
      </w:pPr>
    </w:p>
    <w:sectPr w:rsidR="007123B6" w:rsidRPr="00220A07" w:rsidSect="00EC7FC7">
      <w:pgSz w:w="11900" w:h="16840"/>
      <w:pgMar w:top="1440" w:right="1134" w:bottom="1440" w:left="1410" w:header="720" w:footer="2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6D483" w14:textId="77777777" w:rsidR="008F5772" w:rsidRDefault="008F5772">
      <w:r>
        <w:separator/>
      </w:r>
    </w:p>
    <w:p w14:paraId="27438354" w14:textId="77777777" w:rsidR="008F5772" w:rsidRDefault="008F5772"/>
    <w:p w14:paraId="6411E9E8" w14:textId="77777777" w:rsidR="008F5772" w:rsidRDefault="008F5772" w:rsidP="00AB348B"/>
    <w:p w14:paraId="1E47528F" w14:textId="77777777" w:rsidR="008F5772" w:rsidRDefault="008F5772"/>
    <w:p w14:paraId="3136F34B" w14:textId="77777777" w:rsidR="008F5772" w:rsidRDefault="008F5772" w:rsidP="0059544B"/>
  </w:endnote>
  <w:endnote w:type="continuationSeparator" w:id="0">
    <w:p w14:paraId="07F74CFB" w14:textId="77777777" w:rsidR="008F5772" w:rsidRDefault="008F5772">
      <w:r>
        <w:continuationSeparator/>
      </w:r>
    </w:p>
    <w:p w14:paraId="3550E205" w14:textId="77777777" w:rsidR="008F5772" w:rsidRDefault="008F5772"/>
    <w:p w14:paraId="7AFBB36D" w14:textId="77777777" w:rsidR="008F5772" w:rsidRDefault="008F5772" w:rsidP="00AB348B"/>
    <w:p w14:paraId="251F6618" w14:textId="77777777" w:rsidR="008F5772" w:rsidRDefault="008F5772"/>
    <w:p w14:paraId="409C662F" w14:textId="77777777" w:rsidR="008F5772" w:rsidRDefault="008F5772" w:rsidP="00595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panose1 w:val="020B0604020202020204"/>
    <w:charset w:val="80"/>
    <w:family w:val="swiss"/>
    <w:pitch w:val="variable"/>
    <w:sig w:usb0="E00002FF" w:usb1="7AC7FFFF" w:usb2="00000012" w:usb3="00000000" w:csb0="0002000D" w:csb1="00000000"/>
  </w:font>
  <w:font w:name="Arial Bold">
    <w:altName w:val="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New Roman Bold">
    <w:altName w:val="Times New Roman"/>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8792294"/>
      <w:docPartObj>
        <w:docPartGallery w:val="Page Numbers (Bottom of Page)"/>
        <w:docPartUnique/>
      </w:docPartObj>
    </w:sdtPr>
    <w:sdtContent>
      <w:p w14:paraId="05D915E1" w14:textId="6356A7B7" w:rsidR="001724AA" w:rsidRDefault="001724AA" w:rsidP="001724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sz w:val="20"/>
        <w:szCs w:val="20"/>
      </w:rPr>
      <w:id w:val="1715079395"/>
      <w:docPartObj>
        <w:docPartGallery w:val="Page Numbers (Bottom of Page)"/>
        <w:docPartUnique/>
      </w:docPartObj>
    </w:sdtPr>
    <w:sdtEndPr>
      <w:rPr>
        <w:noProof/>
      </w:rPr>
    </w:sdtEndPr>
    <w:sdtContent>
      <w:p w14:paraId="130B7E6D" w14:textId="0395AD82" w:rsidR="001724AA" w:rsidRPr="00344B6C" w:rsidRDefault="001724AA" w:rsidP="009C7026">
        <w:pPr>
          <w:pStyle w:val="Footer"/>
          <w:tabs>
            <w:tab w:val="clear" w:pos="4513"/>
            <w:tab w:val="clear" w:pos="9026"/>
            <w:tab w:val="center" w:pos="4111"/>
            <w:tab w:val="right" w:pos="8931"/>
          </w:tabs>
          <w:ind w:right="360" w:hanging="1843"/>
          <w:jc w:val="left"/>
          <w:rPr>
            <w:sz w:val="20"/>
            <w:szCs w:val="20"/>
          </w:rPr>
        </w:pPr>
        <w:r w:rsidRPr="00574BA6">
          <w:rPr>
            <w:rFonts w:cs="Arial"/>
            <w:sz w:val="20"/>
            <w:szCs w:val="20"/>
          </w:rPr>
          <w:t>Risk Management Policy and Process</w:t>
        </w:r>
        <w:r>
          <w:rPr>
            <w:rFonts w:cs="Arial"/>
            <w:sz w:val="20"/>
            <w:szCs w:val="20"/>
          </w:rPr>
          <w:t xml:space="preserve"> (May 2017)</w:t>
        </w:r>
        <w:r w:rsidRPr="00574BA6">
          <w:rPr>
            <w:rFonts w:cs="Arial"/>
            <w:sz w:val="20"/>
            <w:szCs w:val="20"/>
          </w:rPr>
          <w:tab/>
        </w:r>
        <w:r>
          <w:rPr>
            <w:noProof/>
            <w:sz w:val="20"/>
            <w:szCs w:val="20"/>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9120620"/>
      <w:docPartObj>
        <w:docPartGallery w:val="Page Numbers (Bottom of Page)"/>
        <w:docPartUnique/>
      </w:docPartObj>
    </w:sdtPr>
    <w:sdtContent>
      <w:p w14:paraId="69E3825C" w14:textId="0931FE30" w:rsidR="001724AA" w:rsidRDefault="001724AA" w:rsidP="001724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665FA">
          <w:rPr>
            <w:rStyle w:val="PageNumber"/>
            <w:noProof/>
          </w:rPr>
          <w:t>15</w:t>
        </w:r>
        <w:r>
          <w:rPr>
            <w:rStyle w:val="PageNumber"/>
          </w:rPr>
          <w:fldChar w:fldCharType="end"/>
        </w:r>
      </w:p>
    </w:sdtContent>
  </w:sdt>
  <w:sdt>
    <w:sdtPr>
      <w:rPr>
        <w:sz w:val="20"/>
        <w:szCs w:val="20"/>
      </w:rPr>
      <w:id w:val="1769117228"/>
      <w:docPartObj>
        <w:docPartGallery w:val="Page Numbers (Bottom of Page)"/>
        <w:docPartUnique/>
      </w:docPartObj>
    </w:sdtPr>
    <w:sdtEndPr>
      <w:rPr>
        <w:noProof/>
      </w:rPr>
    </w:sdtEndPr>
    <w:sdtContent>
      <w:p w14:paraId="385F4228" w14:textId="03D066EA" w:rsidR="001724AA" w:rsidRPr="00344B6C" w:rsidRDefault="001724AA" w:rsidP="009C7026">
        <w:pPr>
          <w:pStyle w:val="Footer"/>
          <w:tabs>
            <w:tab w:val="clear" w:pos="4513"/>
            <w:tab w:val="clear" w:pos="9026"/>
            <w:tab w:val="center" w:pos="6096"/>
            <w:tab w:val="right" w:pos="13892"/>
          </w:tabs>
          <w:ind w:left="0" w:right="360" w:firstLine="0"/>
          <w:jc w:val="left"/>
          <w:rPr>
            <w:sz w:val="20"/>
            <w:szCs w:val="20"/>
          </w:rPr>
        </w:pPr>
        <w:r w:rsidRPr="00574BA6">
          <w:rPr>
            <w:rFonts w:cs="Arial"/>
            <w:sz w:val="20"/>
            <w:szCs w:val="20"/>
          </w:rPr>
          <w:t>Risk Management Policy and Process</w:t>
        </w:r>
        <w:r>
          <w:rPr>
            <w:rFonts w:cs="Arial"/>
            <w:sz w:val="20"/>
            <w:szCs w:val="20"/>
          </w:rPr>
          <w:t xml:space="preserve"> (revised April </w:t>
        </w:r>
        <w:r w:rsidR="00EB28A9">
          <w:rPr>
            <w:rFonts w:cs="Arial"/>
            <w:sz w:val="20"/>
            <w:szCs w:val="20"/>
          </w:rPr>
          <w:t>2025</w:t>
        </w:r>
        <w:r>
          <w:rPr>
            <w:rFonts w:cs="Arial"/>
            <w:sz w:val="20"/>
            <w:szCs w:val="20"/>
          </w:rPr>
          <w:t>)</w:t>
        </w:r>
        <w:r w:rsidRPr="00574BA6">
          <w:rPr>
            <w:rFonts w:cs="Arial"/>
            <w:sz w:val="20"/>
            <w:szCs w:val="20"/>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668654"/>
      <w:docPartObj>
        <w:docPartGallery w:val="Page Numbers (Bottom of Page)"/>
        <w:docPartUnique/>
      </w:docPartObj>
    </w:sdtPr>
    <w:sdtEndPr>
      <w:rPr>
        <w:noProof/>
      </w:rPr>
    </w:sdtEndPr>
    <w:sdtContent>
      <w:p w14:paraId="31FA55A0" w14:textId="3DBF699C" w:rsidR="001724AA" w:rsidRDefault="001724AA">
        <w:pPr>
          <w:pStyle w:val="Footer"/>
          <w:jc w:val="center"/>
        </w:pPr>
        <w:r>
          <w:fldChar w:fldCharType="begin"/>
        </w:r>
        <w:r>
          <w:instrText xml:space="preserve"> PAGE   \* MERGEFORMAT </w:instrText>
        </w:r>
        <w:r>
          <w:fldChar w:fldCharType="separate"/>
        </w:r>
        <w:r>
          <w:rPr>
            <w:noProof/>
          </w:rPr>
          <w:t>12</w:t>
        </w:r>
        <w:r>
          <w:rPr>
            <w:noProof/>
          </w:rPr>
          <w:fldChar w:fldCharType="end"/>
        </w:r>
        <w:r>
          <w:rPr>
            <w:noProof/>
          </w:rPr>
          <w:t xml:space="preserve"> / 12</w:t>
        </w:r>
      </w:p>
    </w:sdtContent>
  </w:sdt>
  <w:p w14:paraId="7449515B" w14:textId="77777777" w:rsidR="001724AA" w:rsidRDefault="001724AA" w:rsidP="00FC6AEA">
    <w:pPr>
      <w:pStyle w:val="Header"/>
      <w:ind w:left="0" w:right="440" w:firstLine="0"/>
    </w:pPr>
  </w:p>
  <w:p w14:paraId="247673F6" w14:textId="77777777" w:rsidR="00703016" w:rsidRDefault="00703016"/>
  <w:p w14:paraId="4582E13F" w14:textId="77777777" w:rsidR="00703016" w:rsidRDefault="00703016" w:rsidP="00AB348B"/>
  <w:p w14:paraId="06C94365" w14:textId="77777777" w:rsidR="00AA22D2" w:rsidRDefault="00AA22D2"/>
  <w:p w14:paraId="7B9E419F" w14:textId="77777777" w:rsidR="00AA22D2" w:rsidRDefault="00AA22D2" w:rsidP="005954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D5588" w14:textId="77777777" w:rsidR="008F5772" w:rsidRDefault="008F5772">
      <w:r>
        <w:separator/>
      </w:r>
    </w:p>
    <w:p w14:paraId="40873F2A" w14:textId="77777777" w:rsidR="008F5772" w:rsidRDefault="008F5772"/>
    <w:p w14:paraId="1F8EF25F" w14:textId="77777777" w:rsidR="008F5772" w:rsidRDefault="008F5772" w:rsidP="00AB348B"/>
    <w:p w14:paraId="49F4DE42" w14:textId="77777777" w:rsidR="008F5772" w:rsidRDefault="008F5772"/>
    <w:p w14:paraId="51FF6936" w14:textId="77777777" w:rsidR="008F5772" w:rsidRDefault="008F5772" w:rsidP="0059544B"/>
  </w:footnote>
  <w:footnote w:type="continuationSeparator" w:id="0">
    <w:p w14:paraId="55C80119" w14:textId="77777777" w:rsidR="008F5772" w:rsidRDefault="008F5772">
      <w:r>
        <w:continuationSeparator/>
      </w:r>
    </w:p>
    <w:p w14:paraId="74DF0547" w14:textId="77777777" w:rsidR="008F5772" w:rsidRDefault="008F5772"/>
    <w:p w14:paraId="2ADA75E5" w14:textId="77777777" w:rsidR="008F5772" w:rsidRDefault="008F5772" w:rsidP="00AB348B"/>
    <w:p w14:paraId="19E9AAD6" w14:textId="77777777" w:rsidR="008F5772" w:rsidRDefault="008F5772"/>
    <w:p w14:paraId="344B82A6" w14:textId="77777777" w:rsidR="008F5772" w:rsidRDefault="008F5772" w:rsidP="005954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B67A" w14:textId="7D028EEB" w:rsidR="001724AA" w:rsidRDefault="001724AA" w:rsidP="00A86DC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ECC0" w14:textId="77777777" w:rsidR="001724AA" w:rsidRDefault="001724AA" w:rsidP="00A86D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80E6" w14:textId="1FE19238" w:rsidR="005532F7" w:rsidRDefault="00AF0C1E">
    <w:pPr>
      <w:pStyle w:val="Header"/>
    </w:pPr>
    <w:r w:rsidRPr="00DA669B">
      <w:rPr>
        <w:noProof/>
        <w:sz w:val="24"/>
        <w:lang w:eastAsia="en-GB"/>
      </w:rPr>
      <w:drawing>
        <wp:anchor distT="0" distB="0" distL="114300" distR="114300" simplePos="0" relativeHeight="251658240" behindDoc="0" locked="0" layoutInCell="1" allowOverlap="1" wp14:anchorId="2BB33A9F" wp14:editId="39B09918">
          <wp:simplePos x="0" y="0"/>
          <wp:positionH relativeFrom="column">
            <wp:posOffset>-163749</wp:posOffset>
          </wp:positionH>
          <wp:positionV relativeFrom="paragraph">
            <wp:posOffset>0</wp:posOffset>
          </wp:positionV>
          <wp:extent cx="2160905" cy="554355"/>
          <wp:effectExtent l="0" t="0" r="0" b="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CD8DA1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0C6CFC"/>
    <w:multiLevelType w:val="multilevel"/>
    <w:tmpl w:val="17EE4F88"/>
    <w:lvl w:ilvl="0">
      <w:start w:val="1"/>
      <w:numFmt w:val="decimal"/>
      <w:lvlText w:val="%1"/>
      <w:lvlJc w:val="left"/>
      <w:pPr>
        <w:ind w:left="705"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05" w:hanging="705"/>
      </w:pPr>
      <w:rPr>
        <w:rFonts w:hint="default"/>
        <w:b w:val="0"/>
        <w:bCs/>
        <w:sz w:val="23"/>
        <w:szCs w:val="23"/>
      </w:rPr>
    </w:lvl>
    <w:lvl w:ilvl="2">
      <w:start w:val="1"/>
      <w:numFmt w:val="lowerLetter"/>
      <w:lvlText w:val="%3."/>
      <w:lvlJc w:val="left"/>
      <w:pPr>
        <w:ind w:left="720" w:hanging="720"/>
      </w:pPr>
      <w:rPr>
        <w:rFonts w:hint="default"/>
        <w:b w:val="0"/>
        <w:bCs/>
        <w:sz w:val="22"/>
        <w:szCs w:val="22"/>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771A14"/>
    <w:multiLevelType w:val="multilevel"/>
    <w:tmpl w:val="BED8F150"/>
    <w:lvl w:ilvl="0">
      <w:start w:val="1"/>
      <w:numFmt w:val="decimal"/>
      <w:lvlText w:val="%1"/>
      <w:lvlJc w:val="left"/>
      <w:pPr>
        <w:ind w:left="705"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05" w:hanging="705"/>
      </w:pPr>
      <w:rPr>
        <w:rFonts w:hint="default"/>
        <w:b w:val="0"/>
        <w:bCs/>
        <w:sz w:val="23"/>
        <w:szCs w:val="23"/>
      </w:rPr>
    </w:lvl>
    <w:lvl w:ilvl="2">
      <w:start w:val="1"/>
      <w:numFmt w:val="lowerLetter"/>
      <w:lvlText w:val="%3."/>
      <w:lvlJc w:val="left"/>
      <w:pPr>
        <w:ind w:left="1004" w:hanging="720"/>
      </w:pPr>
      <w:rPr>
        <w:rFonts w:hint="default"/>
        <w:b w:val="0"/>
        <w:bCs/>
        <w:sz w:val="22"/>
        <w:szCs w:val="22"/>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BF3E0A"/>
    <w:multiLevelType w:val="multilevel"/>
    <w:tmpl w:val="4ED47DBE"/>
    <w:lvl w:ilvl="0">
      <w:start w:val="1"/>
      <w:numFmt w:val="decimal"/>
      <w:lvlText w:val="%1."/>
      <w:lvlJc w:val="left"/>
      <w:pPr>
        <w:ind w:left="360" w:hanging="360"/>
      </w:pPr>
      <w:rPr>
        <w:rFonts w:hint="default"/>
        <w:b/>
        <w:bCs/>
      </w:rPr>
    </w:lvl>
    <w:lvl w:ilvl="1">
      <w:start w:val="1"/>
      <w:numFmt w:val="decimal"/>
      <w:lvlText w:val="%1.%2."/>
      <w:lvlJc w:val="left"/>
      <w:pPr>
        <w:ind w:left="794" w:hanging="652"/>
      </w:pPr>
      <w:rPr>
        <w:rFonts w:hint="default"/>
        <w:b w:val="0"/>
        <w:bCs/>
        <w:sz w:val="22"/>
        <w:szCs w:val="22"/>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F0C3C"/>
    <w:multiLevelType w:val="hybridMultilevel"/>
    <w:tmpl w:val="2F425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EA63A1"/>
    <w:multiLevelType w:val="multilevel"/>
    <w:tmpl w:val="D1DA2888"/>
    <w:lvl w:ilvl="0">
      <w:start w:val="1"/>
      <w:numFmt w:val="decimal"/>
      <w:lvlText w:val="%1."/>
      <w:lvlJc w:val="left"/>
      <w:pPr>
        <w:ind w:left="360" w:hanging="360"/>
      </w:pPr>
      <w:rPr>
        <w:rFonts w:hint="default"/>
      </w:rPr>
    </w:lvl>
    <w:lvl w:ilvl="1">
      <w:start w:val="1"/>
      <w:numFmt w:val="decimal"/>
      <w:lvlText w:val="%1.%2."/>
      <w:lvlJc w:val="left"/>
      <w:pPr>
        <w:ind w:left="792" w:hanging="65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047F04"/>
    <w:multiLevelType w:val="multilevel"/>
    <w:tmpl w:val="81180F4A"/>
    <w:lvl w:ilvl="0">
      <w:start w:val="1"/>
      <w:numFmt w:val="decimal"/>
      <w:lvlText w:val="%1"/>
      <w:lvlJc w:val="left"/>
      <w:pPr>
        <w:ind w:left="705"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05" w:hanging="705"/>
      </w:pPr>
      <w:rPr>
        <w:rFonts w:hint="default"/>
        <w:b w:val="0"/>
        <w:bCs/>
        <w:sz w:val="23"/>
        <w:szCs w:val="23"/>
      </w:rPr>
    </w:lvl>
    <w:lvl w:ilvl="2">
      <w:start w:val="1"/>
      <w:numFmt w:val="lowerLetter"/>
      <w:lvlText w:val="%3."/>
      <w:lvlJc w:val="left"/>
      <w:pPr>
        <w:ind w:left="1004" w:hanging="720"/>
      </w:pPr>
      <w:rPr>
        <w:rFonts w:hint="default"/>
        <w:b w:val="0"/>
        <w:bCs/>
        <w:sz w:val="22"/>
        <w:szCs w:val="22"/>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5C46F4"/>
    <w:multiLevelType w:val="hybridMultilevel"/>
    <w:tmpl w:val="76227EB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1F2206F2"/>
    <w:multiLevelType w:val="multilevel"/>
    <w:tmpl w:val="4A3EB506"/>
    <w:lvl w:ilvl="0">
      <w:start w:val="1"/>
      <w:numFmt w:val="decimal"/>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E42625"/>
    <w:multiLevelType w:val="multilevel"/>
    <w:tmpl w:val="033216AC"/>
    <w:lvl w:ilvl="0">
      <w:start w:val="1"/>
      <w:numFmt w:val="decimal"/>
      <w:lvlText w:val="%1"/>
      <w:lvlJc w:val="left"/>
      <w:pPr>
        <w:ind w:left="705"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05" w:hanging="705"/>
      </w:pPr>
      <w:rPr>
        <w:rFonts w:hint="default"/>
        <w:b w:val="0"/>
        <w:bCs/>
        <w:sz w:val="23"/>
        <w:szCs w:val="23"/>
      </w:rPr>
    </w:lvl>
    <w:lvl w:ilvl="2">
      <w:start w:val="1"/>
      <w:numFmt w:val="lowerLetter"/>
      <w:lvlText w:val="%3."/>
      <w:lvlJc w:val="left"/>
      <w:pPr>
        <w:ind w:left="720" w:hanging="720"/>
      </w:pPr>
      <w:rPr>
        <w:rFonts w:hint="default"/>
        <w:b w:val="0"/>
        <w:bCs/>
        <w:sz w:val="22"/>
        <w:szCs w:val="22"/>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1627BD"/>
    <w:multiLevelType w:val="multilevel"/>
    <w:tmpl w:val="99969CD6"/>
    <w:lvl w:ilvl="0">
      <w:start w:val="1"/>
      <w:numFmt w:val="decimal"/>
      <w:lvlText w:val="%1."/>
      <w:lvlJc w:val="left"/>
      <w:pPr>
        <w:ind w:left="360" w:hanging="360"/>
      </w:pPr>
      <w:rPr>
        <w:rFonts w:hint="default"/>
        <w:b/>
        <w:bCs/>
      </w:rPr>
    </w:lvl>
    <w:lvl w:ilvl="1">
      <w:start w:val="1"/>
      <w:numFmt w:val="decimal"/>
      <w:lvlText w:val="%1.%2."/>
      <w:lvlJc w:val="left"/>
      <w:pPr>
        <w:ind w:left="510" w:hanging="510"/>
      </w:pPr>
      <w:rPr>
        <w:rFonts w:hint="default"/>
        <w:b w:val="0"/>
        <w:bCs/>
        <w:sz w:val="22"/>
        <w:szCs w:val="22"/>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901AA4"/>
    <w:multiLevelType w:val="hybridMultilevel"/>
    <w:tmpl w:val="9DD80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151AAF"/>
    <w:multiLevelType w:val="hybridMultilevel"/>
    <w:tmpl w:val="D7184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881C57"/>
    <w:multiLevelType w:val="hybridMultilevel"/>
    <w:tmpl w:val="E37CB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B71A76"/>
    <w:multiLevelType w:val="multilevel"/>
    <w:tmpl w:val="86AC1582"/>
    <w:lvl w:ilvl="0">
      <w:start w:val="3"/>
      <w:numFmt w:val="decimal"/>
      <w:lvlText w:val="%1."/>
      <w:lvlJc w:val="left"/>
      <w:pPr>
        <w:ind w:left="360" w:hanging="360"/>
      </w:pPr>
      <w:rPr>
        <w:rFonts w:hint="default"/>
        <w:b/>
        <w:bCs/>
      </w:rPr>
    </w:lvl>
    <w:lvl w:ilvl="1">
      <w:start w:val="1"/>
      <w:numFmt w:val="decimal"/>
      <w:lvlText w:val="%1.%2."/>
      <w:lvlJc w:val="left"/>
      <w:pPr>
        <w:ind w:left="858"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611459"/>
    <w:multiLevelType w:val="multilevel"/>
    <w:tmpl w:val="99221922"/>
    <w:lvl w:ilvl="0">
      <w:start w:val="3"/>
      <w:numFmt w:val="decimal"/>
      <w:lvlText w:val="%1."/>
      <w:lvlJc w:val="left"/>
      <w:pPr>
        <w:ind w:left="360" w:hanging="360"/>
      </w:pPr>
      <w:rPr>
        <w:rFonts w:hint="default"/>
        <w:b/>
        <w:bCs/>
      </w:rPr>
    </w:lvl>
    <w:lvl w:ilvl="1">
      <w:start w:val="1"/>
      <w:numFmt w:val="decimal"/>
      <w:lvlText w:val="%1.%2."/>
      <w:lvlJc w:val="left"/>
      <w:pPr>
        <w:ind w:left="857" w:hanging="432"/>
      </w:pPr>
      <w:rPr>
        <w:rFonts w:hint="default"/>
        <w:b w:val="0"/>
        <w:bCs/>
        <w:sz w:val="22"/>
        <w:szCs w:val="22"/>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CF5B59"/>
    <w:multiLevelType w:val="multilevel"/>
    <w:tmpl w:val="BCFCC6CC"/>
    <w:lvl w:ilvl="0">
      <w:start w:val="6"/>
      <w:numFmt w:val="decimal"/>
      <w:lvlText w:val="%1"/>
      <w:lvlJc w:val="left"/>
      <w:pPr>
        <w:ind w:left="360" w:hanging="360"/>
      </w:pPr>
      <w:rPr>
        <w:rFonts w:ascii="Arial" w:hAnsi="Arial" w:cs="Arial" w:hint="default"/>
        <w:b/>
      </w:rPr>
    </w:lvl>
    <w:lvl w:ilvl="1">
      <w:start w:val="1"/>
      <w:numFmt w:val="decimal"/>
      <w:lvlText w:val="%1.%2"/>
      <w:lvlJc w:val="left"/>
      <w:pPr>
        <w:ind w:left="397" w:hanging="397"/>
      </w:pPr>
      <w:rPr>
        <w:rFonts w:hint="default"/>
        <w:sz w:val="22"/>
        <w:szCs w:val="22"/>
      </w:rPr>
    </w:lvl>
    <w:lvl w:ilvl="2">
      <w:start w:val="1"/>
      <w:numFmt w:val="decimal"/>
      <w:lvlText w:val="%1.%2.%3"/>
      <w:lvlJc w:val="left"/>
      <w:pPr>
        <w:ind w:left="2274" w:hanging="720"/>
      </w:pPr>
      <w:rPr>
        <w:rFonts w:hint="default"/>
      </w:rPr>
    </w:lvl>
    <w:lvl w:ilvl="3">
      <w:start w:val="1"/>
      <w:numFmt w:val="decimal"/>
      <w:lvlText w:val="%1.%2.%3.%4"/>
      <w:lvlJc w:val="left"/>
      <w:pPr>
        <w:ind w:left="3051" w:hanging="720"/>
      </w:pPr>
      <w:rPr>
        <w:rFonts w:hint="default"/>
      </w:rPr>
    </w:lvl>
    <w:lvl w:ilvl="4">
      <w:start w:val="1"/>
      <w:numFmt w:val="decimal"/>
      <w:lvlText w:val="%1.%2.%3.%4.%5"/>
      <w:lvlJc w:val="left"/>
      <w:pPr>
        <w:ind w:left="4188" w:hanging="1080"/>
      </w:pPr>
      <w:rPr>
        <w:rFonts w:hint="default"/>
      </w:rPr>
    </w:lvl>
    <w:lvl w:ilvl="5">
      <w:start w:val="1"/>
      <w:numFmt w:val="decimal"/>
      <w:lvlText w:val="%1.%2.%3.%4.%5.%6"/>
      <w:lvlJc w:val="left"/>
      <w:pPr>
        <w:ind w:left="5325" w:hanging="1440"/>
      </w:pPr>
      <w:rPr>
        <w:rFonts w:hint="default"/>
      </w:rPr>
    </w:lvl>
    <w:lvl w:ilvl="6">
      <w:start w:val="1"/>
      <w:numFmt w:val="decimal"/>
      <w:lvlText w:val="%1.%2.%3.%4.%5.%6.%7"/>
      <w:lvlJc w:val="left"/>
      <w:pPr>
        <w:ind w:left="6102" w:hanging="1440"/>
      </w:pPr>
      <w:rPr>
        <w:rFonts w:hint="default"/>
      </w:rPr>
    </w:lvl>
    <w:lvl w:ilvl="7">
      <w:start w:val="1"/>
      <w:numFmt w:val="decimal"/>
      <w:lvlText w:val="%1.%2.%3.%4.%5.%6.%7.%8"/>
      <w:lvlJc w:val="left"/>
      <w:pPr>
        <w:ind w:left="7239" w:hanging="1800"/>
      </w:pPr>
      <w:rPr>
        <w:rFonts w:hint="default"/>
      </w:rPr>
    </w:lvl>
    <w:lvl w:ilvl="8">
      <w:start w:val="1"/>
      <w:numFmt w:val="decimal"/>
      <w:lvlText w:val="%1.%2.%3.%4.%5.%6.%7.%8.%9"/>
      <w:lvlJc w:val="left"/>
      <w:pPr>
        <w:ind w:left="8016" w:hanging="1800"/>
      </w:pPr>
      <w:rPr>
        <w:rFonts w:hint="default"/>
      </w:rPr>
    </w:lvl>
  </w:abstractNum>
  <w:abstractNum w:abstractNumId="17" w15:restartNumberingAfterBreak="0">
    <w:nsid w:val="3F172297"/>
    <w:multiLevelType w:val="multilevel"/>
    <w:tmpl w:val="7998524E"/>
    <w:lvl w:ilvl="0">
      <w:start w:val="1"/>
      <w:numFmt w:val="decimal"/>
      <w:lvlText w:val="%1"/>
      <w:lvlJc w:val="left"/>
      <w:pPr>
        <w:ind w:left="705" w:hanging="705"/>
      </w:pPr>
      <w:rPr>
        <w:rFonts w:hint="default"/>
        <w:b/>
        <w:bCs/>
        <w:color w:val="auto"/>
        <w:sz w:val="23"/>
        <w:szCs w:val="23"/>
      </w:rPr>
    </w:lvl>
    <w:lvl w:ilvl="1">
      <w:start w:val="1"/>
      <w:numFmt w:val="decimal"/>
      <w:lvlText w:val="%1.%2"/>
      <w:lvlJc w:val="left"/>
      <w:pPr>
        <w:ind w:left="705" w:hanging="705"/>
      </w:pPr>
      <w:rPr>
        <w:rFonts w:asciiTheme="minorBidi" w:hAnsiTheme="minorBidi" w:cstheme="minorBidi" w:hint="default"/>
        <w:b w:val="0"/>
        <w:bCs/>
        <w:sz w:val="23"/>
        <w:szCs w:val="23"/>
      </w:rPr>
    </w:lvl>
    <w:lvl w:ilvl="2">
      <w:start w:val="1"/>
      <w:numFmt w:val="upperRoman"/>
      <w:lvlText w:val="%3."/>
      <w:lvlJc w:val="right"/>
      <w:pPr>
        <w:ind w:left="360" w:hanging="360"/>
      </w:pPr>
      <w:rPr>
        <w:rFonts w:hint="default"/>
        <w:b w:val="0"/>
        <w:bCs/>
        <w:sz w:val="23"/>
        <w:szCs w:val="23"/>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C01741"/>
    <w:multiLevelType w:val="hybridMultilevel"/>
    <w:tmpl w:val="7E3EA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A86927"/>
    <w:multiLevelType w:val="hybridMultilevel"/>
    <w:tmpl w:val="19DECB54"/>
    <w:lvl w:ilvl="0" w:tplc="AC06D65C">
      <w:start w:val="1"/>
      <w:numFmt w:val="lowerRoman"/>
      <w:lvlText w:val="%1)"/>
      <w:lvlJc w:val="left"/>
      <w:pPr>
        <w:ind w:left="1570" w:hanging="72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0" w15:restartNumberingAfterBreak="0">
    <w:nsid w:val="4AED2238"/>
    <w:multiLevelType w:val="hybridMultilevel"/>
    <w:tmpl w:val="ED207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493818"/>
    <w:multiLevelType w:val="hybridMultilevel"/>
    <w:tmpl w:val="3CA03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1840D7"/>
    <w:multiLevelType w:val="hybridMultilevel"/>
    <w:tmpl w:val="D074AC4E"/>
    <w:lvl w:ilvl="0" w:tplc="174E81EC">
      <w:start w:val="1"/>
      <w:numFmt w:val="lowerRoman"/>
      <w:lvlText w:val="%1)"/>
      <w:lvlJc w:val="left"/>
      <w:pPr>
        <w:ind w:left="1570" w:hanging="72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3" w15:restartNumberingAfterBreak="0">
    <w:nsid w:val="5B0C15EE"/>
    <w:multiLevelType w:val="multilevel"/>
    <w:tmpl w:val="3D96F4F6"/>
    <w:lvl w:ilvl="0">
      <w:start w:val="2"/>
      <w:numFmt w:val="decimal"/>
      <w:lvlText w:val="%1"/>
      <w:lvlJc w:val="left"/>
      <w:pPr>
        <w:ind w:left="705" w:hanging="705"/>
      </w:pPr>
      <w:rPr>
        <w:rFonts w:hint="default"/>
        <w:b/>
        <w:bCs/>
      </w:rPr>
    </w:lvl>
    <w:lvl w:ilvl="1">
      <w:start w:val="1"/>
      <w:numFmt w:val="decimal"/>
      <w:lvlText w:val="%1.%2"/>
      <w:lvlJc w:val="left"/>
      <w:pPr>
        <w:ind w:left="794" w:hanging="652"/>
      </w:pPr>
      <w:rPr>
        <w:rFonts w:hint="default"/>
        <w:b w:val="0"/>
        <w:bCs/>
        <w:sz w:val="22"/>
        <w:szCs w:val="22"/>
      </w:rPr>
    </w:lvl>
    <w:lvl w:ilvl="2">
      <w:start w:val="1"/>
      <w:numFmt w:val="lowerLetter"/>
      <w:lvlText w:val="%3."/>
      <w:lvlJc w:val="left"/>
      <w:pPr>
        <w:ind w:left="720" w:hanging="720"/>
      </w:pPr>
      <w:rPr>
        <w:rFonts w:hint="default"/>
        <w:b w:val="0"/>
        <w:bCs/>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EA087C"/>
    <w:multiLevelType w:val="hybridMultilevel"/>
    <w:tmpl w:val="6ED69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8B3FE4"/>
    <w:multiLevelType w:val="hybridMultilevel"/>
    <w:tmpl w:val="D074AC4E"/>
    <w:lvl w:ilvl="0" w:tplc="174E81EC">
      <w:start w:val="1"/>
      <w:numFmt w:val="lowerRoman"/>
      <w:lvlText w:val="%1)"/>
      <w:lvlJc w:val="left"/>
      <w:pPr>
        <w:ind w:left="1570" w:hanging="72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6" w15:restartNumberingAfterBreak="0">
    <w:nsid w:val="666B567B"/>
    <w:multiLevelType w:val="multilevel"/>
    <w:tmpl w:val="B568E50A"/>
    <w:lvl w:ilvl="0">
      <w:start w:val="1"/>
      <w:numFmt w:val="decimal"/>
      <w:lvlText w:val="%1."/>
      <w:lvlJc w:val="left"/>
      <w:pPr>
        <w:ind w:left="502" w:hanging="360"/>
      </w:pPr>
      <w:rPr>
        <w:rFonts w:hint="default"/>
      </w:rPr>
    </w:lvl>
    <w:lvl w:ilvl="1">
      <w:start w:val="1"/>
      <w:numFmt w:val="decimal"/>
      <w:lvlText w:val="%1.%2."/>
      <w:lvlJc w:val="left"/>
      <w:pPr>
        <w:ind w:left="934" w:hanging="650"/>
      </w:pPr>
      <w:rPr>
        <w:rFonts w:hint="default"/>
        <w:sz w:val="22"/>
        <w:szCs w:val="22"/>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7" w15:restartNumberingAfterBreak="0">
    <w:nsid w:val="72CA0AF9"/>
    <w:multiLevelType w:val="multilevel"/>
    <w:tmpl w:val="174AEDDC"/>
    <w:lvl w:ilvl="0">
      <w:start w:val="3"/>
      <w:numFmt w:val="decimal"/>
      <w:lvlText w:val="%1"/>
      <w:lvlJc w:val="left"/>
      <w:pPr>
        <w:ind w:left="705" w:hanging="705"/>
      </w:pPr>
      <w:rPr>
        <w:rFonts w:hint="default"/>
        <w:b/>
        <w:bCs/>
        <w:color w:val="auto"/>
        <w:sz w:val="23"/>
        <w:szCs w:val="23"/>
      </w:rPr>
    </w:lvl>
    <w:lvl w:ilvl="1">
      <w:start w:val="1"/>
      <w:numFmt w:val="decimal"/>
      <w:lvlText w:val="%1.%2"/>
      <w:lvlJc w:val="left"/>
      <w:pPr>
        <w:ind w:left="705" w:hanging="705"/>
      </w:pPr>
      <w:rPr>
        <w:rFonts w:ascii="Arial" w:hAnsi="Arial" w:cs="Arial" w:hint="default"/>
        <w:b w:val="0"/>
        <w:bCs/>
        <w:sz w:val="22"/>
        <w:szCs w:val="22"/>
      </w:rPr>
    </w:lvl>
    <w:lvl w:ilvl="2">
      <w:start w:val="1"/>
      <w:numFmt w:val="lowerRoman"/>
      <w:lvlText w:val="%3."/>
      <w:lvlJc w:val="right"/>
      <w:pPr>
        <w:ind w:left="720" w:hanging="720"/>
      </w:pPr>
      <w:rPr>
        <w:rFonts w:hint="default"/>
        <w:b w:val="0"/>
        <w:bCs/>
        <w:sz w:val="23"/>
        <w:szCs w:val="23"/>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087145"/>
    <w:multiLevelType w:val="hybridMultilevel"/>
    <w:tmpl w:val="DAB27182"/>
    <w:lvl w:ilvl="0" w:tplc="92FC405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9E52B0D"/>
    <w:multiLevelType w:val="multilevel"/>
    <w:tmpl w:val="37CAAF1A"/>
    <w:lvl w:ilvl="0">
      <w:start w:val="1"/>
      <w:numFmt w:val="decimal"/>
      <w:lvlText w:val="%1"/>
      <w:lvlJc w:val="left"/>
      <w:pPr>
        <w:ind w:left="705" w:hanging="705"/>
      </w:pPr>
      <w:rPr>
        <w:rFonts w:hint="default"/>
        <w:b/>
        <w:bCs/>
      </w:rPr>
    </w:lvl>
    <w:lvl w:ilvl="1">
      <w:start w:val="1"/>
      <w:numFmt w:val="decimal"/>
      <w:lvlText w:val="%1.%2"/>
      <w:lvlJc w:val="left"/>
      <w:pPr>
        <w:ind w:left="705" w:hanging="705"/>
      </w:pPr>
      <w:rPr>
        <w:rFonts w:hint="default"/>
        <w:b w:val="0"/>
        <w:bCs/>
      </w:rPr>
    </w:lvl>
    <w:lvl w:ilvl="2">
      <w:start w:val="1"/>
      <w:numFmt w:val="lowerLetter"/>
      <w:lvlText w:val="%3."/>
      <w:lvlJc w:val="left"/>
      <w:pPr>
        <w:ind w:left="720" w:hanging="720"/>
      </w:pPr>
      <w:rPr>
        <w:rFonts w:hint="default"/>
        <w:b w:val="0"/>
        <w:bCs/>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lowerLetter"/>
      <w:lvlText w:val="%6."/>
      <w:lvlJc w:val="left"/>
      <w:pPr>
        <w:ind w:left="1080" w:hanging="1080"/>
      </w:pPr>
      <w:rPr>
        <w:rFonts w:hint="default"/>
        <w:b w:val="0"/>
        <w:bCs/>
        <w:sz w:val="22"/>
        <w:szCs w:val="22"/>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D46438"/>
    <w:multiLevelType w:val="multilevel"/>
    <w:tmpl w:val="6F022D30"/>
    <w:lvl w:ilvl="0">
      <w:start w:val="1"/>
      <w:numFmt w:val="decimal"/>
      <w:lvlText w:val="%1"/>
      <w:lvlJc w:val="left"/>
      <w:pPr>
        <w:ind w:left="705"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47" w:hanging="705"/>
      </w:pPr>
      <w:rPr>
        <w:rFonts w:asciiTheme="minorBidi" w:hAnsiTheme="minorBidi" w:cstheme="minorBidi" w:hint="default"/>
        <w:b w:val="0"/>
        <w:bCs/>
        <w:sz w:val="23"/>
        <w:szCs w:val="23"/>
      </w:rPr>
    </w:lvl>
    <w:lvl w:ilvl="2">
      <w:start w:val="1"/>
      <w:numFmt w:val="lowerRoman"/>
      <w:lvlText w:val="%3."/>
      <w:lvlJc w:val="right"/>
      <w:pPr>
        <w:ind w:left="720" w:hanging="720"/>
      </w:pPr>
      <w:rPr>
        <w:rFonts w:hint="default"/>
        <w:b w:val="0"/>
        <w:bCs/>
        <w:sz w:val="23"/>
        <w:szCs w:val="23"/>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C273980"/>
    <w:multiLevelType w:val="multilevel"/>
    <w:tmpl w:val="CE7E76E2"/>
    <w:lvl w:ilvl="0">
      <w:start w:val="1"/>
      <w:numFmt w:val="decimal"/>
      <w:lvlText w:val="%1"/>
      <w:lvlJc w:val="left"/>
      <w:pPr>
        <w:ind w:left="705"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05" w:hanging="705"/>
      </w:pPr>
      <w:rPr>
        <w:rFonts w:hint="default"/>
        <w:b w:val="0"/>
        <w:bCs/>
        <w:sz w:val="23"/>
        <w:szCs w:val="23"/>
      </w:rPr>
    </w:lvl>
    <w:lvl w:ilvl="2">
      <w:start w:val="1"/>
      <w:numFmt w:val="lowerLetter"/>
      <w:lvlText w:val="%3."/>
      <w:lvlJc w:val="left"/>
      <w:pPr>
        <w:ind w:left="720" w:hanging="720"/>
      </w:pPr>
      <w:rPr>
        <w:rFonts w:hint="default"/>
        <w:b w:val="0"/>
        <w:bCs/>
        <w:sz w:val="22"/>
        <w:szCs w:val="22"/>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2C6B63"/>
    <w:multiLevelType w:val="multilevel"/>
    <w:tmpl w:val="0809001F"/>
    <w:styleLink w:val="Style1"/>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C96676A"/>
    <w:multiLevelType w:val="hybridMultilevel"/>
    <w:tmpl w:val="30E64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1929946">
    <w:abstractNumId w:val="3"/>
  </w:num>
  <w:num w:numId="2" w16cid:durableId="2140830147">
    <w:abstractNumId w:val="30"/>
  </w:num>
  <w:num w:numId="3" w16cid:durableId="1652828156">
    <w:abstractNumId w:val="29"/>
  </w:num>
  <w:num w:numId="4" w16cid:durableId="263924866">
    <w:abstractNumId w:val="11"/>
  </w:num>
  <w:num w:numId="5" w16cid:durableId="58946362">
    <w:abstractNumId w:val="27"/>
  </w:num>
  <w:num w:numId="6" w16cid:durableId="307440130">
    <w:abstractNumId w:val="23"/>
  </w:num>
  <w:num w:numId="7" w16cid:durableId="1596358412">
    <w:abstractNumId w:val="0"/>
  </w:num>
  <w:num w:numId="8" w16cid:durableId="1821924868">
    <w:abstractNumId w:val="33"/>
  </w:num>
  <w:num w:numId="9" w16cid:durableId="1428699320">
    <w:abstractNumId w:val="12"/>
  </w:num>
  <w:num w:numId="10" w16cid:durableId="1258248805">
    <w:abstractNumId w:val="18"/>
  </w:num>
  <w:num w:numId="11" w16cid:durableId="970090621">
    <w:abstractNumId w:val="21"/>
  </w:num>
  <w:num w:numId="12" w16cid:durableId="1623880753">
    <w:abstractNumId w:val="24"/>
  </w:num>
  <w:num w:numId="13" w16cid:durableId="1674796815">
    <w:abstractNumId w:val="13"/>
  </w:num>
  <w:num w:numId="14" w16cid:durableId="567420190">
    <w:abstractNumId w:val="4"/>
  </w:num>
  <w:num w:numId="15" w16cid:durableId="1338995886">
    <w:abstractNumId w:val="20"/>
  </w:num>
  <w:num w:numId="16" w16cid:durableId="416941592">
    <w:abstractNumId w:val="17"/>
  </w:num>
  <w:num w:numId="17" w16cid:durableId="1715078163">
    <w:abstractNumId w:val="16"/>
  </w:num>
  <w:num w:numId="18" w16cid:durableId="583076068">
    <w:abstractNumId w:val="25"/>
  </w:num>
  <w:num w:numId="19" w16cid:durableId="1175265522">
    <w:abstractNumId w:val="26"/>
  </w:num>
  <w:num w:numId="20" w16cid:durableId="1322347674">
    <w:abstractNumId w:val="32"/>
  </w:num>
  <w:num w:numId="21" w16cid:durableId="223371965">
    <w:abstractNumId w:val="8"/>
  </w:num>
  <w:num w:numId="22" w16cid:durableId="1147361360">
    <w:abstractNumId w:val="1"/>
  </w:num>
  <w:num w:numId="23" w16cid:durableId="564532415">
    <w:abstractNumId w:val="15"/>
  </w:num>
  <w:num w:numId="24" w16cid:durableId="1461611210">
    <w:abstractNumId w:val="31"/>
  </w:num>
  <w:num w:numId="25" w16cid:durableId="857542840">
    <w:abstractNumId w:val="9"/>
  </w:num>
  <w:num w:numId="26" w16cid:durableId="719328173">
    <w:abstractNumId w:val="6"/>
  </w:num>
  <w:num w:numId="27" w16cid:durableId="1913536885">
    <w:abstractNumId w:val="2"/>
  </w:num>
  <w:num w:numId="28" w16cid:durableId="1266691979">
    <w:abstractNumId w:val="10"/>
  </w:num>
  <w:num w:numId="29" w16cid:durableId="323241322">
    <w:abstractNumId w:val="5"/>
  </w:num>
  <w:num w:numId="30" w16cid:durableId="183372783">
    <w:abstractNumId w:val="28"/>
  </w:num>
  <w:num w:numId="31" w16cid:durableId="1479027836">
    <w:abstractNumId w:val="7"/>
  </w:num>
  <w:num w:numId="32" w16cid:durableId="1041590485">
    <w:abstractNumId w:val="14"/>
  </w:num>
  <w:num w:numId="33" w16cid:durableId="985277526">
    <w:abstractNumId w:val="19"/>
  </w:num>
  <w:num w:numId="34" w16cid:durableId="204097715">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1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A52"/>
    <w:rsid w:val="00002ED2"/>
    <w:rsid w:val="00006A87"/>
    <w:rsid w:val="00010F31"/>
    <w:rsid w:val="00017031"/>
    <w:rsid w:val="00027FCB"/>
    <w:rsid w:val="00031660"/>
    <w:rsid w:val="00037043"/>
    <w:rsid w:val="00037C04"/>
    <w:rsid w:val="0004064A"/>
    <w:rsid w:val="0004380C"/>
    <w:rsid w:val="00044EEE"/>
    <w:rsid w:val="0005750F"/>
    <w:rsid w:val="00061642"/>
    <w:rsid w:val="00062794"/>
    <w:rsid w:val="00076779"/>
    <w:rsid w:val="00081E35"/>
    <w:rsid w:val="00087399"/>
    <w:rsid w:val="00090042"/>
    <w:rsid w:val="000A3BB4"/>
    <w:rsid w:val="000A7701"/>
    <w:rsid w:val="000C21AC"/>
    <w:rsid w:val="000C5365"/>
    <w:rsid w:val="000C6990"/>
    <w:rsid w:val="000C6EB0"/>
    <w:rsid w:val="000C6EF2"/>
    <w:rsid w:val="000D11DB"/>
    <w:rsid w:val="000D7FB3"/>
    <w:rsid w:val="000E14C9"/>
    <w:rsid w:val="000E3C42"/>
    <w:rsid w:val="000F3602"/>
    <w:rsid w:val="000F7498"/>
    <w:rsid w:val="00100EA8"/>
    <w:rsid w:val="00101A89"/>
    <w:rsid w:val="001046DE"/>
    <w:rsid w:val="001067E6"/>
    <w:rsid w:val="00112824"/>
    <w:rsid w:val="00113A5F"/>
    <w:rsid w:val="00114A1F"/>
    <w:rsid w:val="001155B6"/>
    <w:rsid w:val="00115ACF"/>
    <w:rsid w:val="0011625F"/>
    <w:rsid w:val="00116BA1"/>
    <w:rsid w:val="00121FC4"/>
    <w:rsid w:val="00125A76"/>
    <w:rsid w:val="00131164"/>
    <w:rsid w:val="00145089"/>
    <w:rsid w:val="00145301"/>
    <w:rsid w:val="00145D05"/>
    <w:rsid w:val="00163568"/>
    <w:rsid w:val="001724AA"/>
    <w:rsid w:val="001864CA"/>
    <w:rsid w:val="00187994"/>
    <w:rsid w:val="00190227"/>
    <w:rsid w:val="00190D88"/>
    <w:rsid w:val="0019223C"/>
    <w:rsid w:val="00193008"/>
    <w:rsid w:val="001A06BE"/>
    <w:rsid w:val="001A44A6"/>
    <w:rsid w:val="001B0700"/>
    <w:rsid w:val="001B1769"/>
    <w:rsid w:val="001B1C83"/>
    <w:rsid w:val="001B2928"/>
    <w:rsid w:val="001B59DC"/>
    <w:rsid w:val="001D3316"/>
    <w:rsid w:val="001D3442"/>
    <w:rsid w:val="001D7772"/>
    <w:rsid w:val="001E303B"/>
    <w:rsid w:val="001E470A"/>
    <w:rsid w:val="001E62A3"/>
    <w:rsid w:val="001F5C60"/>
    <w:rsid w:val="001F7D96"/>
    <w:rsid w:val="002024D7"/>
    <w:rsid w:val="002178C5"/>
    <w:rsid w:val="00220A07"/>
    <w:rsid w:val="00220BE9"/>
    <w:rsid w:val="00221406"/>
    <w:rsid w:val="0022369C"/>
    <w:rsid w:val="0022398C"/>
    <w:rsid w:val="00232896"/>
    <w:rsid w:val="0023748A"/>
    <w:rsid w:val="00261CD5"/>
    <w:rsid w:val="00263CA0"/>
    <w:rsid w:val="00264E64"/>
    <w:rsid w:val="002661B2"/>
    <w:rsid w:val="002759F5"/>
    <w:rsid w:val="00281056"/>
    <w:rsid w:val="00291CCB"/>
    <w:rsid w:val="002945E0"/>
    <w:rsid w:val="00295CEE"/>
    <w:rsid w:val="002A15FE"/>
    <w:rsid w:val="002A1B8E"/>
    <w:rsid w:val="002A62F9"/>
    <w:rsid w:val="002A6956"/>
    <w:rsid w:val="002B2458"/>
    <w:rsid w:val="002B4102"/>
    <w:rsid w:val="002B4C83"/>
    <w:rsid w:val="002C0A54"/>
    <w:rsid w:val="002C6972"/>
    <w:rsid w:val="002D039A"/>
    <w:rsid w:val="002D40AF"/>
    <w:rsid w:val="002D5476"/>
    <w:rsid w:val="002D6E38"/>
    <w:rsid w:val="002E25E7"/>
    <w:rsid w:val="002E7189"/>
    <w:rsid w:val="002E76FD"/>
    <w:rsid w:val="002F2215"/>
    <w:rsid w:val="002F2D88"/>
    <w:rsid w:val="002F566C"/>
    <w:rsid w:val="00310D10"/>
    <w:rsid w:val="0031290D"/>
    <w:rsid w:val="00331394"/>
    <w:rsid w:val="0034114B"/>
    <w:rsid w:val="00344B6C"/>
    <w:rsid w:val="003470F1"/>
    <w:rsid w:val="00354FCF"/>
    <w:rsid w:val="00360BB1"/>
    <w:rsid w:val="00363AE3"/>
    <w:rsid w:val="00366FF0"/>
    <w:rsid w:val="00370331"/>
    <w:rsid w:val="003762B5"/>
    <w:rsid w:val="00380225"/>
    <w:rsid w:val="00380448"/>
    <w:rsid w:val="0038366D"/>
    <w:rsid w:val="00387B48"/>
    <w:rsid w:val="00395BE1"/>
    <w:rsid w:val="003A001F"/>
    <w:rsid w:val="003A1D1E"/>
    <w:rsid w:val="003A2004"/>
    <w:rsid w:val="003B0B39"/>
    <w:rsid w:val="003B2A2A"/>
    <w:rsid w:val="003B61FA"/>
    <w:rsid w:val="003C1C38"/>
    <w:rsid w:val="003C4A76"/>
    <w:rsid w:val="003D08AD"/>
    <w:rsid w:val="003D13D7"/>
    <w:rsid w:val="003D23BB"/>
    <w:rsid w:val="003D2776"/>
    <w:rsid w:val="003E2FA6"/>
    <w:rsid w:val="003F03C8"/>
    <w:rsid w:val="003F11C9"/>
    <w:rsid w:val="0040159C"/>
    <w:rsid w:val="00401636"/>
    <w:rsid w:val="0041632A"/>
    <w:rsid w:val="00420460"/>
    <w:rsid w:val="0043115A"/>
    <w:rsid w:val="0045282C"/>
    <w:rsid w:val="0045482A"/>
    <w:rsid w:val="0046750C"/>
    <w:rsid w:val="00475212"/>
    <w:rsid w:val="0049256D"/>
    <w:rsid w:val="00495D38"/>
    <w:rsid w:val="004A0BED"/>
    <w:rsid w:val="004A0C2A"/>
    <w:rsid w:val="004A0C56"/>
    <w:rsid w:val="004A223C"/>
    <w:rsid w:val="004A5B73"/>
    <w:rsid w:val="004A7733"/>
    <w:rsid w:val="004B5614"/>
    <w:rsid w:val="004B7692"/>
    <w:rsid w:val="004C5A87"/>
    <w:rsid w:val="004D212E"/>
    <w:rsid w:val="004D4B64"/>
    <w:rsid w:val="004E3021"/>
    <w:rsid w:val="004F1DC9"/>
    <w:rsid w:val="004F56C1"/>
    <w:rsid w:val="0050318D"/>
    <w:rsid w:val="0050357D"/>
    <w:rsid w:val="00505973"/>
    <w:rsid w:val="005230B5"/>
    <w:rsid w:val="0052665B"/>
    <w:rsid w:val="00526FAD"/>
    <w:rsid w:val="005336EC"/>
    <w:rsid w:val="00536459"/>
    <w:rsid w:val="00536FC0"/>
    <w:rsid w:val="00542483"/>
    <w:rsid w:val="0054768B"/>
    <w:rsid w:val="005506BB"/>
    <w:rsid w:val="00550E59"/>
    <w:rsid w:val="005532F7"/>
    <w:rsid w:val="00554370"/>
    <w:rsid w:val="00562DFA"/>
    <w:rsid w:val="00563B8F"/>
    <w:rsid w:val="00570543"/>
    <w:rsid w:val="005745C5"/>
    <w:rsid w:val="00574BA6"/>
    <w:rsid w:val="00582BEA"/>
    <w:rsid w:val="00587D45"/>
    <w:rsid w:val="00594994"/>
    <w:rsid w:val="0059544B"/>
    <w:rsid w:val="00596102"/>
    <w:rsid w:val="005A47FD"/>
    <w:rsid w:val="005A4A60"/>
    <w:rsid w:val="005B37B1"/>
    <w:rsid w:val="005B78BD"/>
    <w:rsid w:val="005C129E"/>
    <w:rsid w:val="005C3928"/>
    <w:rsid w:val="005C5B18"/>
    <w:rsid w:val="005C640F"/>
    <w:rsid w:val="005C77EF"/>
    <w:rsid w:val="005D10C5"/>
    <w:rsid w:val="005E0F33"/>
    <w:rsid w:val="005E4599"/>
    <w:rsid w:val="005F2CEB"/>
    <w:rsid w:val="005F3F7D"/>
    <w:rsid w:val="005F4BF1"/>
    <w:rsid w:val="005F6F9B"/>
    <w:rsid w:val="00600970"/>
    <w:rsid w:val="00602C10"/>
    <w:rsid w:val="00604CB7"/>
    <w:rsid w:val="00605F9B"/>
    <w:rsid w:val="0060708A"/>
    <w:rsid w:val="00612E3D"/>
    <w:rsid w:val="00615CC4"/>
    <w:rsid w:val="0061773B"/>
    <w:rsid w:val="0061790E"/>
    <w:rsid w:val="00630902"/>
    <w:rsid w:val="0063557B"/>
    <w:rsid w:val="006401DE"/>
    <w:rsid w:val="006449FA"/>
    <w:rsid w:val="00645F62"/>
    <w:rsid w:val="0066144E"/>
    <w:rsid w:val="0066469E"/>
    <w:rsid w:val="0067148F"/>
    <w:rsid w:val="006719A3"/>
    <w:rsid w:val="006765E4"/>
    <w:rsid w:val="00676EB3"/>
    <w:rsid w:val="00680843"/>
    <w:rsid w:val="0068196F"/>
    <w:rsid w:val="006865C1"/>
    <w:rsid w:val="00690A4B"/>
    <w:rsid w:val="00696C6A"/>
    <w:rsid w:val="006A2E7F"/>
    <w:rsid w:val="006B1BF0"/>
    <w:rsid w:val="006C030F"/>
    <w:rsid w:val="006C521A"/>
    <w:rsid w:val="006D0B3B"/>
    <w:rsid w:val="006D774F"/>
    <w:rsid w:val="006E66AA"/>
    <w:rsid w:val="006F3398"/>
    <w:rsid w:val="00700D5E"/>
    <w:rsid w:val="007014FE"/>
    <w:rsid w:val="00703016"/>
    <w:rsid w:val="00705F1A"/>
    <w:rsid w:val="0071206E"/>
    <w:rsid w:val="007123B6"/>
    <w:rsid w:val="00712982"/>
    <w:rsid w:val="00716EA0"/>
    <w:rsid w:val="0072290F"/>
    <w:rsid w:val="00725A93"/>
    <w:rsid w:val="00736F4A"/>
    <w:rsid w:val="00742A2D"/>
    <w:rsid w:val="00742D30"/>
    <w:rsid w:val="00743737"/>
    <w:rsid w:val="00744E1B"/>
    <w:rsid w:val="00745180"/>
    <w:rsid w:val="00752341"/>
    <w:rsid w:val="00766047"/>
    <w:rsid w:val="007723A1"/>
    <w:rsid w:val="00776C25"/>
    <w:rsid w:val="007773AC"/>
    <w:rsid w:val="00777B2C"/>
    <w:rsid w:val="00782B1A"/>
    <w:rsid w:val="007868DA"/>
    <w:rsid w:val="00792C32"/>
    <w:rsid w:val="0079471A"/>
    <w:rsid w:val="00796B53"/>
    <w:rsid w:val="00797D47"/>
    <w:rsid w:val="007A4A0D"/>
    <w:rsid w:val="007B35B4"/>
    <w:rsid w:val="007B6664"/>
    <w:rsid w:val="007B7A05"/>
    <w:rsid w:val="007C49F2"/>
    <w:rsid w:val="007C7AB6"/>
    <w:rsid w:val="007C7CD6"/>
    <w:rsid w:val="007D1F8C"/>
    <w:rsid w:val="007D6505"/>
    <w:rsid w:val="007D6597"/>
    <w:rsid w:val="007D7D28"/>
    <w:rsid w:val="007E2C40"/>
    <w:rsid w:val="0080324C"/>
    <w:rsid w:val="00807F0E"/>
    <w:rsid w:val="008104F8"/>
    <w:rsid w:val="00811D31"/>
    <w:rsid w:val="00812694"/>
    <w:rsid w:val="008135FB"/>
    <w:rsid w:val="00815F7E"/>
    <w:rsid w:val="00817B15"/>
    <w:rsid w:val="008229C6"/>
    <w:rsid w:val="0083284A"/>
    <w:rsid w:val="00833E6A"/>
    <w:rsid w:val="008475A6"/>
    <w:rsid w:val="008540E0"/>
    <w:rsid w:val="0085560C"/>
    <w:rsid w:val="008618B2"/>
    <w:rsid w:val="0086586E"/>
    <w:rsid w:val="00865D79"/>
    <w:rsid w:val="008665FA"/>
    <w:rsid w:val="00866EF5"/>
    <w:rsid w:val="00870EE3"/>
    <w:rsid w:val="008805B5"/>
    <w:rsid w:val="00881130"/>
    <w:rsid w:val="00881BF8"/>
    <w:rsid w:val="008A08B3"/>
    <w:rsid w:val="008A1FF5"/>
    <w:rsid w:val="008A4D2B"/>
    <w:rsid w:val="008A7AEE"/>
    <w:rsid w:val="008B2CBD"/>
    <w:rsid w:val="008B30F5"/>
    <w:rsid w:val="008D21BA"/>
    <w:rsid w:val="008E0747"/>
    <w:rsid w:val="008E1B32"/>
    <w:rsid w:val="008E1E82"/>
    <w:rsid w:val="008E241E"/>
    <w:rsid w:val="008E79A7"/>
    <w:rsid w:val="008F5772"/>
    <w:rsid w:val="00900E60"/>
    <w:rsid w:val="009057EB"/>
    <w:rsid w:val="009145EE"/>
    <w:rsid w:val="0092517D"/>
    <w:rsid w:val="00927434"/>
    <w:rsid w:val="00932587"/>
    <w:rsid w:val="00946E34"/>
    <w:rsid w:val="009700E0"/>
    <w:rsid w:val="0097189F"/>
    <w:rsid w:val="0097393D"/>
    <w:rsid w:val="00982F94"/>
    <w:rsid w:val="00984FC7"/>
    <w:rsid w:val="00985047"/>
    <w:rsid w:val="009853C8"/>
    <w:rsid w:val="0099148E"/>
    <w:rsid w:val="0099221A"/>
    <w:rsid w:val="009A4B44"/>
    <w:rsid w:val="009B3C73"/>
    <w:rsid w:val="009B7B32"/>
    <w:rsid w:val="009C0AFC"/>
    <w:rsid w:val="009C3D1F"/>
    <w:rsid w:val="009C44BF"/>
    <w:rsid w:val="009C7026"/>
    <w:rsid w:val="009D0B1D"/>
    <w:rsid w:val="009D7CF1"/>
    <w:rsid w:val="009E01AC"/>
    <w:rsid w:val="009F6B98"/>
    <w:rsid w:val="00A013FB"/>
    <w:rsid w:val="00A02649"/>
    <w:rsid w:val="00A0307B"/>
    <w:rsid w:val="00A0552D"/>
    <w:rsid w:val="00A10345"/>
    <w:rsid w:val="00A11E37"/>
    <w:rsid w:val="00A1361E"/>
    <w:rsid w:val="00A1505C"/>
    <w:rsid w:val="00A22B88"/>
    <w:rsid w:val="00A34281"/>
    <w:rsid w:val="00A41169"/>
    <w:rsid w:val="00A508C0"/>
    <w:rsid w:val="00A57DB6"/>
    <w:rsid w:val="00A74CFC"/>
    <w:rsid w:val="00A765F4"/>
    <w:rsid w:val="00A77111"/>
    <w:rsid w:val="00A82EBC"/>
    <w:rsid w:val="00A86664"/>
    <w:rsid w:val="00A86DC0"/>
    <w:rsid w:val="00A965A0"/>
    <w:rsid w:val="00AA22D2"/>
    <w:rsid w:val="00AA2849"/>
    <w:rsid w:val="00AA75F9"/>
    <w:rsid w:val="00AB02B7"/>
    <w:rsid w:val="00AB02C0"/>
    <w:rsid w:val="00AB348B"/>
    <w:rsid w:val="00AC3226"/>
    <w:rsid w:val="00AC591D"/>
    <w:rsid w:val="00AC6A7C"/>
    <w:rsid w:val="00AC7A34"/>
    <w:rsid w:val="00AD2370"/>
    <w:rsid w:val="00AD2CFC"/>
    <w:rsid w:val="00AD6D93"/>
    <w:rsid w:val="00AE335C"/>
    <w:rsid w:val="00AE691E"/>
    <w:rsid w:val="00AE7D81"/>
    <w:rsid w:val="00AF0C1E"/>
    <w:rsid w:val="00B008D8"/>
    <w:rsid w:val="00B04CC7"/>
    <w:rsid w:val="00B16094"/>
    <w:rsid w:val="00B174CF"/>
    <w:rsid w:val="00B175A8"/>
    <w:rsid w:val="00B2112A"/>
    <w:rsid w:val="00B217D9"/>
    <w:rsid w:val="00B22026"/>
    <w:rsid w:val="00B2621A"/>
    <w:rsid w:val="00B31F49"/>
    <w:rsid w:val="00B41270"/>
    <w:rsid w:val="00B4233A"/>
    <w:rsid w:val="00B46122"/>
    <w:rsid w:val="00B509EB"/>
    <w:rsid w:val="00B517B0"/>
    <w:rsid w:val="00B52402"/>
    <w:rsid w:val="00B63C68"/>
    <w:rsid w:val="00B66CB1"/>
    <w:rsid w:val="00B70A52"/>
    <w:rsid w:val="00B74F78"/>
    <w:rsid w:val="00B91284"/>
    <w:rsid w:val="00B92852"/>
    <w:rsid w:val="00B937D1"/>
    <w:rsid w:val="00BA2DD8"/>
    <w:rsid w:val="00BA3847"/>
    <w:rsid w:val="00BC076D"/>
    <w:rsid w:val="00BC482B"/>
    <w:rsid w:val="00BD27CB"/>
    <w:rsid w:val="00BD71BA"/>
    <w:rsid w:val="00BE1A95"/>
    <w:rsid w:val="00BF0B7F"/>
    <w:rsid w:val="00BF25C8"/>
    <w:rsid w:val="00C06AB4"/>
    <w:rsid w:val="00C11BEC"/>
    <w:rsid w:val="00C12855"/>
    <w:rsid w:val="00C175B1"/>
    <w:rsid w:val="00C2055C"/>
    <w:rsid w:val="00C251FA"/>
    <w:rsid w:val="00C34903"/>
    <w:rsid w:val="00C67A9F"/>
    <w:rsid w:val="00C84976"/>
    <w:rsid w:val="00C877C8"/>
    <w:rsid w:val="00C94B13"/>
    <w:rsid w:val="00CA07CF"/>
    <w:rsid w:val="00CA3089"/>
    <w:rsid w:val="00CA5794"/>
    <w:rsid w:val="00CA6D98"/>
    <w:rsid w:val="00CB1A33"/>
    <w:rsid w:val="00CB25B1"/>
    <w:rsid w:val="00CB49D8"/>
    <w:rsid w:val="00CB651E"/>
    <w:rsid w:val="00CB7373"/>
    <w:rsid w:val="00CB7BB8"/>
    <w:rsid w:val="00CE007B"/>
    <w:rsid w:val="00CE0736"/>
    <w:rsid w:val="00CE2482"/>
    <w:rsid w:val="00CE7E99"/>
    <w:rsid w:val="00CF1410"/>
    <w:rsid w:val="00D12C81"/>
    <w:rsid w:val="00D142A0"/>
    <w:rsid w:val="00D143F8"/>
    <w:rsid w:val="00D174E7"/>
    <w:rsid w:val="00D25191"/>
    <w:rsid w:val="00D2791E"/>
    <w:rsid w:val="00D3165E"/>
    <w:rsid w:val="00D32ADE"/>
    <w:rsid w:val="00D34087"/>
    <w:rsid w:val="00D406F5"/>
    <w:rsid w:val="00D43A9A"/>
    <w:rsid w:val="00D55097"/>
    <w:rsid w:val="00D56412"/>
    <w:rsid w:val="00D57CA4"/>
    <w:rsid w:val="00D6583A"/>
    <w:rsid w:val="00D6777E"/>
    <w:rsid w:val="00D67E68"/>
    <w:rsid w:val="00D80ACC"/>
    <w:rsid w:val="00D858DC"/>
    <w:rsid w:val="00D86771"/>
    <w:rsid w:val="00D87399"/>
    <w:rsid w:val="00D930C4"/>
    <w:rsid w:val="00DA669B"/>
    <w:rsid w:val="00DB11B8"/>
    <w:rsid w:val="00DB2222"/>
    <w:rsid w:val="00DC21BB"/>
    <w:rsid w:val="00DC6855"/>
    <w:rsid w:val="00DD3B84"/>
    <w:rsid w:val="00DD75AB"/>
    <w:rsid w:val="00DE6128"/>
    <w:rsid w:val="00DF66F3"/>
    <w:rsid w:val="00E1000F"/>
    <w:rsid w:val="00E2503B"/>
    <w:rsid w:val="00E422B9"/>
    <w:rsid w:val="00E4391D"/>
    <w:rsid w:val="00E443C0"/>
    <w:rsid w:val="00E44AA3"/>
    <w:rsid w:val="00E4528C"/>
    <w:rsid w:val="00E474D8"/>
    <w:rsid w:val="00E50658"/>
    <w:rsid w:val="00E55800"/>
    <w:rsid w:val="00E57C0E"/>
    <w:rsid w:val="00E60B1E"/>
    <w:rsid w:val="00E60B9C"/>
    <w:rsid w:val="00E6471B"/>
    <w:rsid w:val="00E651C0"/>
    <w:rsid w:val="00E668F3"/>
    <w:rsid w:val="00E73811"/>
    <w:rsid w:val="00E77B12"/>
    <w:rsid w:val="00E80D1B"/>
    <w:rsid w:val="00EA200F"/>
    <w:rsid w:val="00EA38C6"/>
    <w:rsid w:val="00EA4590"/>
    <w:rsid w:val="00EA7028"/>
    <w:rsid w:val="00EB052E"/>
    <w:rsid w:val="00EB144D"/>
    <w:rsid w:val="00EB28A9"/>
    <w:rsid w:val="00EB5FDF"/>
    <w:rsid w:val="00EB6357"/>
    <w:rsid w:val="00EC1402"/>
    <w:rsid w:val="00EC7FC7"/>
    <w:rsid w:val="00ED028A"/>
    <w:rsid w:val="00ED099C"/>
    <w:rsid w:val="00ED106C"/>
    <w:rsid w:val="00ED3ECF"/>
    <w:rsid w:val="00ED5A95"/>
    <w:rsid w:val="00EE07F1"/>
    <w:rsid w:val="00EF2425"/>
    <w:rsid w:val="00EF7F1A"/>
    <w:rsid w:val="00F02FBC"/>
    <w:rsid w:val="00F150EB"/>
    <w:rsid w:val="00F151C9"/>
    <w:rsid w:val="00F22A93"/>
    <w:rsid w:val="00F24BED"/>
    <w:rsid w:val="00F25C42"/>
    <w:rsid w:val="00F33989"/>
    <w:rsid w:val="00F3591C"/>
    <w:rsid w:val="00F40F89"/>
    <w:rsid w:val="00F45E0A"/>
    <w:rsid w:val="00F50CB6"/>
    <w:rsid w:val="00F51260"/>
    <w:rsid w:val="00F51B03"/>
    <w:rsid w:val="00F53360"/>
    <w:rsid w:val="00F53AD8"/>
    <w:rsid w:val="00F5600B"/>
    <w:rsid w:val="00F61CBD"/>
    <w:rsid w:val="00F63E75"/>
    <w:rsid w:val="00F67D91"/>
    <w:rsid w:val="00F70C27"/>
    <w:rsid w:val="00F8167C"/>
    <w:rsid w:val="00F85126"/>
    <w:rsid w:val="00F863BE"/>
    <w:rsid w:val="00F90C9F"/>
    <w:rsid w:val="00F92D66"/>
    <w:rsid w:val="00F96B39"/>
    <w:rsid w:val="00FA2A15"/>
    <w:rsid w:val="00FA77E7"/>
    <w:rsid w:val="00FB1559"/>
    <w:rsid w:val="00FB69C5"/>
    <w:rsid w:val="00FC14BC"/>
    <w:rsid w:val="00FC164D"/>
    <w:rsid w:val="00FC6AEA"/>
    <w:rsid w:val="00FD5C26"/>
    <w:rsid w:val="00FE1F03"/>
    <w:rsid w:val="00FE2686"/>
    <w:rsid w:val="00FE2F4F"/>
    <w:rsid w:val="00FE3440"/>
    <w:rsid w:val="00FF0727"/>
    <w:rsid w:val="00FF4A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0E7DCDD"/>
  <w15:docId w15:val="{3DCCFACB-A88B-4AEB-A93C-EC95D6C5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line="276" w:lineRule="auto"/>
        <w:ind w:left="1134" w:hanging="357"/>
        <w:jc w:val="both"/>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F89"/>
    <w:rPr>
      <w:rFonts w:ascii="Arial" w:eastAsia="ヒラギノ角ゴ Pro W3" w:hAnsi="Arial"/>
      <w:color w:val="000000"/>
      <w:sz w:val="22"/>
      <w:szCs w:val="24"/>
      <w:lang w:eastAsia="en-US"/>
    </w:rPr>
  </w:style>
  <w:style w:type="paragraph" w:styleId="Heading1">
    <w:name w:val="heading 1"/>
    <w:basedOn w:val="Heading11"/>
    <w:next w:val="Normal"/>
    <w:link w:val="Heading1Char"/>
    <w:qFormat/>
    <w:locked/>
    <w:rsid w:val="00AE7D81"/>
    <w:pPr>
      <w:tabs>
        <w:tab w:val="left" w:pos="709"/>
      </w:tabs>
      <w:snapToGrid w:val="0"/>
      <w:spacing w:after="120"/>
      <w:ind w:left="426" w:firstLine="0"/>
      <w:jc w:val="left"/>
    </w:pPr>
    <w:rPr>
      <w:rFonts w:ascii="Arial" w:hAnsi="Arial" w:cs="Arial"/>
      <w:b/>
      <w:bCs/>
      <w:color w:val="000000" w:themeColor="text1"/>
      <w:szCs w:val="24"/>
    </w:rPr>
  </w:style>
  <w:style w:type="paragraph" w:styleId="Heading2">
    <w:name w:val="heading 2"/>
    <w:basedOn w:val="Normal"/>
    <w:next w:val="Normal"/>
    <w:link w:val="Heading2Char"/>
    <w:qFormat/>
    <w:locked/>
    <w:rsid w:val="005B37B1"/>
    <w:pPr>
      <w:keepNext/>
      <w:jc w:val="right"/>
      <w:outlineLvl w:val="1"/>
    </w:pPr>
    <w:rPr>
      <w:rFonts w:ascii="Times New Roman" w:eastAsia="Times New Roman" w:hAnsi="Times New Roman"/>
      <w:b/>
      <w:bCs/>
      <w:color w:val="auto"/>
      <w:sz w:val="24"/>
      <w:lang w:eastAsia="zh-CN"/>
    </w:rPr>
  </w:style>
  <w:style w:type="paragraph" w:styleId="Heading7">
    <w:name w:val="heading 7"/>
    <w:basedOn w:val="Normal"/>
    <w:next w:val="Normal"/>
    <w:link w:val="Heading7Char"/>
    <w:qFormat/>
    <w:locked/>
    <w:rsid w:val="005B37B1"/>
    <w:pPr>
      <w:keepNext/>
      <w:ind w:left="567"/>
      <w:outlineLvl w:val="6"/>
    </w:pPr>
    <w:rPr>
      <w:rFonts w:eastAsia="Times New Roman" w:cs="Arial"/>
      <w:b/>
      <w:bCs/>
      <w:color w:val="auto"/>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F40F89"/>
    <w:pPr>
      <w:tabs>
        <w:tab w:val="center" w:pos="4320"/>
        <w:tab w:val="right" w:pos="8640"/>
      </w:tabs>
    </w:pPr>
    <w:rPr>
      <w:rFonts w:ascii="Arial" w:eastAsia="ヒラギノ角ゴ Pro W3" w:hAnsi="Arial"/>
      <w:color w:val="000000"/>
      <w:sz w:val="24"/>
      <w:lang w:eastAsia="zh-CN"/>
    </w:rPr>
  </w:style>
  <w:style w:type="paragraph" w:customStyle="1" w:styleId="Footer1">
    <w:name w:val="Footer1"/>
    <w:rsid w:val="00F40F89"/>
    <w:pPr>
      <w:tabs>
        <w:tab w:val="center" w:pos="4320"/>
        <w:tab w:val="right" w:pos="8640"/>
      </w:tabs>
    </w:pPr>
    <w:rPr>
      <w:rFonts w:ascii="Arial" w:eastAsia="ヒラギノ角ゴ Pro W3" w:hAnsi="Arial"/>
      <w:color w:val="000000"/>
      <w:sz w:val="24"/>
      <w:lang w:eastAsia="zh-CN"/>
    </w:rPr>
  </w:style>
  <w:style w:type="paragraph" w:customStyle="1" w:styleId="Heading31">
    <w:name w:val="Heading 31"/>
    <w:next w:val="Normal"/>
    <w:rsid w:val="00F40F89"/>
    <w:pPr>
      <w:keepNext/>
      <w:outlineLvl w:val="2"/>
    </w:pPr>
    <w:rPr>
      <w:rFonts w:ascii="Arial Bold" w:eastAsia="ヒラギノ角ゴ Pro W3" w:hAnsi="Arial Bold"/>
      <w:color w:val="000000"/>
      <w:sz w:val="32"/>
      <w:lang w:eastAsia="zh-CN"/>
    </w:rPr>
  </w:style>
  <w:style w:type="paragraph" w:customStyle="1" w:styleId="Heading41">
    <w:name w:val="Heading 41"/>
    <w:next w:val="Normal"/>
    <w:rsid w:val="00F40F89"/>
    <w:pPr>
      <w:keepNext/>
      <w:ind w:left="720" w:hanging="720"/>
      <w:outlineLvl w:val="3"/>
    </w:pPr>
    <w:rPr>
      <w:rFonts w:ascii="Arial Bold" w:eastAsia="ヒラギノ角ゴ Pro W3" w:hAnsi="Arial Bold"/>
      <w:color w:val="000000"/>
      <w:sz w:val="28"/>
      <w:lang w:eastAsia="zh-CN"/>
    </w:rPr>
  </w:style>
  <w:style w:type="character" w:customStyle="1" w:styleId="FootnoteReference1">
    <w:name w:val="Footnote Reference1"/>
    <w:rsid w:val="00F40F89"/>
    <w:rPr>
      <w:color w:val="000000"/>
      <w:sz w:val="20"/>
      <w:vertAlign w:val="superscript"/>
    </w:rPr>
  </w:style>
  <w:style w:type="paragraph" w:customStyle="1" w:styleId="FootnoteText1">
    <w:name w:val="Footnote Text1"/>
    <w:rsid w:val="00F40F89"/>
    <w:rPr>
      <w:rFonts w:ascii="Arial" w:eastAsia="ヒラギノ角ゴ Pro W3" w:hAnsi="Arial"/>
      <w:color w:val="000000"/>
      <w:lang w:eastAsia="zh-CN"/>
    </w:rPr>
  </w:style>
  <w:style w:type="paragraph" w:customStyle="1" w:styleId="Heading61">
    <w:name w:val="Heading 61"/>
    <w:next w:val="Normal"/>
    <w:rsid w:val="00F40F89"/>
    <w:pPr>
      <w:keepNext/>
      <w:ind w:left="360"/>
      <w:outlineLvl w:val="5"/>
    </w:pPr>
    <w:rPr>
      <w:rFonts w:ascii="Arial Bold" w:eastAsia="ヒラギノ角ゴ Pro W3" w:hAnsi="Arial Bold"/>
      <w:color w:val="000000"/>
      <w:sz w:val="28"/>
      <w:lang w:eastAsia="zh-CN"/>
    </w:rPr>
  </w:style>
  <w:style w:type="paragraph" w:customStyle="1" w:styleId="BodyText31">
    <w:name w:val="Body Text 31"/>
    <w:autoRedefine/>
    <w:rsid w:val="004B5614"/>
    <w:pPr>
      <w:ind w:left="709" w:hanging="709"/>
    </w:pPr>
    <w:rPr>
      <w:rFonts w:ascii="Arial" w:eastAsia="ヒラギノ角ゴ Pro W3" w:hAnsi="Arial" w:cs="Arial"/>
      <w:color w:val="000000"/>
      <w:sz w:val="22"/>
      <w:szCs w:val="22"/>
      <w:lang w:val="en-US" w:eastAsia="zh-CN"/>
    </w:rPr>
  </w:style>
  <w:style w:type="paragraph" w:customStyle="1" w:styleId="Heading51">
    <w:name w:val="Heading 51"/>
    <w:next w:val="Normal"/>
    <w:rsid w:val="00F40F89"/>
    <w:pPr>
      <w:keepNext/>
      <w:outlineLvl w:val="4"/>
    </w:pPr>
    <w:rPr>
      <w:rFonts w:ascii="Arial Bold" w:eastAsia="ヒラギノ角ゴ Pro W3" w:hAnsi="Arial Bold"/>
      <w:color w:val="000000"/>
      <w:sz w:val="28"/>
      <w:lang w:eastAsia="zh-CN"/>
    </w:rPr>
  </w:style>
  <w:style w:type="paragraph" w:customStyle="1" w:styleId="Body">
    <w:name w:val="Body"/>
    <w:rsid w:val="00F40F89"/>
    <w:rPr>
      <w:rFonts w:ascii="Helvetica" w:eastAsia="ヒラギノ角ゴ Pro W3" w:hAnsi="Helvetica"/>
      <w:color w:val="000000"/>
      <w:sz w:val="24"/>
      <w:lang w:val="en-US" w:eastAsia="zh-CN"/>
    </w:rPr>
  </w:style>
  <w:style w:type="paragraph" w:customStyle="1" w:styleId="FreeForm">
    <w:name w:val="Free Form"/>
    <w:autoRedefine/>
    <w:rsid w:val="00D56412"/>
    <w:rPr>
      <w:color w:val="4F81BD" w:themeColor="accent1"/>
      <w:lang w:eastAsia="zh-CN"/>
    </w:rPr>
  </w:style>
  <w:style w:type="paragraph" w:customStyle="1" w:styleId="Heading11">
    <w:name w:val="Heading 11"/>
    <w:next w:val="Normal"/>
    <w:rsid w:val="00F40F89"/>
    <w:pPr>
      <w:keepNext/>
      <w:outlineLvl w:val="0"/>
    </w:pPr>
    <w:rPr>
      <w:rFonts w:ascii="Times New Roman Bold" w:eastAsia="ヒラギノ角ゴ Pro W3" w:hAnsi="Times New Roman Bold"/>
      <w:color w:val="000000"/>
      <w:sz w:val="24"/>
      <w:lang w:eastAsia="zh-CN"/>
    </w:rPr>
  </w:style>
  <w:style w:type="paragraph" w:customStyle="1" w:styleId="Heading21">
    <w:name w:val="Heading 21"/>
    <w:next w:val="Normal"/>
    <w:rsid w:val="00F40F89"/>
    <w:pPr>
      <w:keepNext/>
      <w:jc w:val="right"/>
      <w:outlineLvl w:val="1"/>
    </w:pPr>
    <w:rPr>
      <w:rFonts w:ascii="Times New Roman Bold" w:eastAsia="ヒラギノ角ゴ Pro W3" w:hAnsi="Times New Roman Bold"/>
      <w:color w:val="000000"/>
      <w:sz w:val="24"/>
      <w:lang w:eastAsia="zh-CN"/>
    </w:rPr>
  </w:style>
  <w:style w:type="paragraph" w:customStyle="1" w:styleId="Heading71">
    <w:name w:val="Heading 71"/>
    <w:next w:val="Normal"/>
    <w:rsid w:val="00F40F89"/>
    <w:pPr>
      <w:keepNext/>
      <w:ind w:left="567"/>
      <w:outlineLvl w:val="6"/>
    </w:pPr>
    <w:rPr>
      <w:rFonts w:ascii="Arial Bold" w:eastAsia="ヒラギノ角ゴ Pro W3" w:hAnsi="Arial Bold"/>
      <w:color w:val="000000"/>
      <w:sz w:val="24"/>
      <w:lang w:eastAsia="zh-CN"/>
    </w:rPr>
  </w:style>
  <w:style w:type="paragraph" w:styleId="BalloonText">
    <w:name w:val="Balloon Text"/>
    <w:basedOn w:val="Normal"/>
    <w:link w:val="BalloonTextChar"/>
    <w:locked/>
    <w:rsid w:val="00B70A52"/>
    <w:rPr>
      <w:rFonts w:ascii="Tahoma" w:hAnsi="Tahoma" w:cs="Tahoma"/>
      <w:sz w:val="16"/>
      <w:szCs w:val="16"/>
    </w:rPr>
  </w:style>
  <w:style w:type="character" w:customStyle="1" w:styleId="BalloonTextChar">
    <w:name w:val="Balloon Text Char"/>
    <w:basedOn w:val="DefaultParagraphFont"/>
    <w:link w:val="BalloonText"/>
    <w:rsid w:val="00B70A52"/>
    <w:rPr>
      <w:rFonts w:ascii="Tahoma" w:eastAsia="ヒラギノ角ゴ Pro W3" w:hAnsi="Tahoma" w:cs="Tahoma"/>
      <w:color w:val="000000"/>
      <w:sz w:val="16"/>
      <w:szCs w:val="16"/>
      <w:lang w:eastAsia="en-US"/>
    </w:rPr>
  </w:style>
  <w:style w:type="paragraph" w:styleId="Header">
    <w:name w:val="header"/>
    <w:basedOn w:val="Normal"/>
    <w:link w:val="HeaderChar"/>
    <w:locked/>
    <w:rsid w:val="00FA2A15"/>
    <w:pPr>
      <w:tabs>
        <w:tab w:val="center" w:pos="4513"/>
        <w:tab w:val="right" w:pos="9026"/>
      </w:tabs>
    </w:pPr>
  </w:style>
  <w:style w:type="character" w:customStyle="1" w:styleId="HeaderChar">
    <w:name w:val="Header Char"/>
    <w:basedOn w:val="DefaultParagraphFont"/>
    <w:link w:val="Header"/>
    <w:rsid w:val="00FA2A15"/>
    <w:rPr>
      <w:rFonts w:ascii="Arial" w:eastAsia="ヒラギノ角ゴ Pro W3" w:hAnsi="Arial"/>
      <w:color w:val="000000"/>
      <w:sz w:val="22"/>
      <w:szCs w:val="24"/>
      <w:lang w:eastAsia="en-US"/>
    </w:rPr>
  </w:style>
  <w:style w:type="paragraph" w:styleId="Footer">
    <w:name w:val="footer"/>
    <w:basedOn w:val="Normal"/>
    <w:link w:val="FooterChar"/>
    <w:uiPriority w:val="99"/>
    <w:locked/>
    <w:rsid w:val="00FA2A15"/>
    <w:pPr>
      <w:tabs>
        <w:tab w:val="center" w:pos="4513"/>
        <w:tab w:val="right" w:pos="9026"/>
      </w:tabs>
    </w:pPr>
  </w:style>
  <w:style w:type="character" w:customStyle="1" w:styleId="FooterChar">
    <w:name w:val="Footer Char"/>
    <w:basedOn w:val="DefaultParagraphFont"/>
    <w:link w:val="Footer"/>
    <w:uiPriority w:val="99"/>
    <w:rsid w:val="00FA2A15"/>
    <w:rPr>
      <w:rFonts w:ascii="Arial" w:eastAsia="ヒラギノ角ゴ Pro W3" w:hAnsi="Arial"/>
      <w:color w:val="000000"/>
      <w:sz w:val="22"/>
      <w:szCs w:val="24"/>
      <w:lang w:eastAsia="en-US"/>
    </w:rPr>
  </w:style>
  <w:style w:type="character" w:customStyle="1" w:styleId="Heading1Char">
    <w:name w:val="Heading 1 Char"/>
    <w:basedOn w:val="DefaultParagraphFont"/>
    <w:link w:val="Heading1"/>
    <w:rsid w:val="00AE7D81"/>
    <w:rPr>
      <w:rFonts w:ascii="Arial" w:eastAsia="ヒラギノ角ゴ Pro W3" w:hAnsi="Arial" w:cs="Arial"/>
      <w:b/>
      <w:bCs/>
      <w:color w:val="000000" w:themeColor="text1"/>
      <w:sz w:val="24"/>
      <w:szCs w:val="24"/>
      <w:lang w:eastAsia="zh-CN"/>
    </w:rPr>
  </w:style>
  <w:style w:type="character" w:customStyle="1" w:styleId="Heading2Char">
    <w:name w:val="Heading 2 Char"/>
    <w:basedOn w:val="DefaultParagraphFont"/>
    <w:link w:val="Heading2"/>
    <w:rsid w:val="005B37B1"/>
    <w:rPr>
      <w:b/>
      <w:bCs/>
      <w:sz w:val="24"/>
      <w:szCs w:val="24"/>
    </w:rPr>
  </w:style>
  <w:style w:type="character" w:customStyle="1" w:styleId="Heading7Char">
    <w:name w:val="Heading 7 Char"/>
    <w:basedOn w:val="DefaultParagraphFont"/>
    <w:link w:val="Heading7"/>
    <w:rsid w:val="005B37B1"/>
    <w:rPr>
      <w:rFonts w:ascii="Arial" w:hAnsi="Arial" w:cs="Arial"/>
      <w:b/>
      <w:bCs/>
      <w:sz w:val="24"/>
      <w:szCs w:val="24"/>
    </w:rPr>
  </w:style>
  <w:style w:type="numbering" w:customStyle="1" w:styleId="List1">
    <w:name w:val="List 1"/>
    <w:autoRedefine/>
    <w:rsid w:val="0085560C"/>
  </w:style>
  <w:style w:type="paragraph" w:styleId="ListParagraph">
    <w:name w:val="List Paragraph"/>
    <w:basedOn w:val="Normal"/>
    <w:uiPriority w:val="34"/>
    <w:qFormat/>
    <w:rsid w:val="00536459"/>
    <w:pPr>
      <w:ind w:left="720"/>
      <w:contextualSpacing/>
    </w:pPr>
  </w:style>
  <w:style w:type="table" w:styleId="TableGrid">
    <w:name w:val="Table Grid"/>
    <w:basedOn w:val="TableNormal"/>
    <w:uiPriority w:val="59"/>
    <w:locked/>
    <w:rsid w:val="008805B5"/>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locked/>
    <w:rsid w:val="00EC1402"/>
    <w:pPr>
      <w:spacing w:before="100" w:beforeAutospacing="1" w:after="100" w:afterAutospacing="1"/>
    </w:pPr>
    <w:rPr>
      <w:rFonts w:ascii="Times New Roman" w:eastAsia="Times New Roman" w:hAnsi="Times New Roman"/>
      <w:color w:val="auto"/>
      <w:sz w:val="24"/>
      <w:lang w:eastAsia="zh-CN"/>
    </w:rPr>
  </w:style>
  <w:style w:type="character" w:styleId="Hyperlink">
    <w:name w:val="Hyperlink"/>
    <w:basedOn w:val="DefaultParagraphFont"/>
    <w:unhideWhenUsed/>
    <w:locked/>
    <w:rsid w:val="00EC1402"/>
    <w:rPr>
      <w:color w:val="0000FF" w:themeColor="hyperlink"/>
      <w:u w:val="single"/>
    </w:rPr>
  </w:style>
  <w:style w:type="paragraph" w:customStyle="1" w:styleId="Header2">
    <w:name w:val="Header2"/>
    <w:rsid w:val="0099148E"/>
    <w:pPr>
      <w:tabs>
        <w:tab w:val="center" w:pos="4153"/>
        <w:tab w:val="right" w:pos="8306"/>
      </w:tabs>
      <w:spacing w:after="200"/>
    </w:pPr>
    <w:rPr>
      <w:rFonts w:ascii="Lucida Grande" w:eastAsia="ヒラギノ角ゴ Pro W3" w:hAnsi="Lucida Grande"/>
      <w:color w:val="000000"/>
      <w:sz w:val="22"/>
      <w:lang w:val="en-US" w:eastAsia="zh-CN"/>
    </w:rPr>
  </w:style>
  <w:style w:type="paragraph" w:styleId="FootnoteText">
    <w:name w:val="footnote text"/>
    <w:basedOn w:val="Normal"/>
    <w:link w:val="FootnoteTextChar"/>
    <w:semiHidden/>
    <w:unhideWhenUsed/>
    <w:locked/>
    <w:rsid w:val="00EB6357"/>
    <w:pPr>
      <w:spacing w:line="240" w:lineRule="auto"/>
    </w:pPr>
    <w:rPr>
      <w:sz w:val="20"/>
      <w:szCs w:val="20"/>
    </w:rPr>
  </w:style>
  <w:style w:type="character" w:customStyle="1" w:styleId="FootnoteTextChar">
    <w:name w:val="Footnote Text Char"/>
    <w:basedOn w:val="DefaultParagraphFont"/>
    <w:link w:val="FootnoteText"/>
    <w:semiHidden/>
    <w:rsid w:val="00EB6357"/>
    <w:rPr>
      <w:rFonts w:ascii="Arial" w:eastAsia="ヒラギノ角ゴ Pro W3" w:hAnsi="Arial"/>
      <w:color w:val="000000"/>
      <w:lang w:eastAsia="en-US"/>
    </w:rPr>
  </w:style>
  <w:style w:type="character" w:styleId="FootnoteReference">
    <w:name w:val="footnote reference"/>
    <w:basedOn w:val="DefaultParagraphFont"/>
    <w:semiHidden/>
    <w:unhideWhenUsed/>
    <w:locked/>
    <w:rsid w:val="00EB6357"/>
    <w:rPr>
      <w:vertAlign w:val="superscript"/>
    </w:rPr>
  </w:style>
  <w:style w:type="paragraph" w:customStyle="1" w:styleId="TableGrid1">
    <w:name w:val="Table Grid1"/>
    <w:rsid w:val="0083284A"/>
    <w:pPr>
      <w:spacing w:line="240" w:lineRule="auto"/>
      <w:ind w:left="0" w:firstLine="0"/>
      <w:jc w:val="left"/>
    </w:pPr>
    <w:rPr>
      <w:rFonts w:ascii="Lucida Grande" w:eastAsia="ヒラギノ角ゴ Pro W3" w:hAnsi="Lucida Grande"/>
      <w:color w:val="000000"/>
      <w:lang w:eastAsia="zh-CN"/>
    </w:rPr>
  </w:style>
  <w:style w:type="paragraph" w:customStyle="1" w:styleId="TableGrid2">
    <w:name w:val="Table Grid2"/>
    <w:rsid w:val="0083284A"/>
    <w:pPr>
      <w:spacing w:line="240" w:lineRule="auto"/>
      <w:ind w:left="0" w:firstLine="0"/>
      <w:jc w:val="left"/>
    </w:pPr>
    <w:rPr>
      <w:rFonts w:ascii="Lucida Grande" w:eastAsia="ヒラギノ角ゴ Pro W3" w:hAnsi="Lucida Grande"/>
      <w:color w:val="000000"/>
      <w:sz w:val="22"/>
      <w:lang w:eastAsia="zh-CN"/>
    </w:rPr>
  </w:style>
  <w:style w:type="character" w:styleId="CommentReference">
    <w:name w:val="annotation reference"/>
    <w:basedOn w:val="DefaultParagraphFont"/>
    <w:semiHidden/>
    <w:unhideWhenUsed/>
    <w:locked/>
    <w:rsid w:val="00037043"/>
    <w:rPr>
      <w:sz w:val="16"/>
      <w:szCs w:val="16"/>
    </w:rPr>
  </w:style>
  <w:style w:type="paragraph" w:styleId="CommentText">
    <w:name w:val="annotation text"/>
    <w:basedOn w:val="Normal"/>
    <w:link w:val="CommentTextChar"/>
    <w:unhideWhenUsed/>
    <w:locked/>
    <w:rsid w:val="00037043"/>
    <w:pPr>
      <w:spacing w:line="240" w:lineRule="auto"/>
    </w:pPr>
    <w:rPr>
      <w:sz w:val="20"/>
      <w:szCs w:val="20"/>
    </w:rPr>
  </w:style>
  <w:style w:type="character" w:customStyle="1" w:styleId="CommentTextChar">
    <w:name w:val="Comment Text Char"/>
    <w:basedOn w:val="DefaultParagraphFont"/>
    <w:link w:val="CommentText"/>
    <w:rsid w:val="00037043"/>
    <w:rPr>
      <w:rFonts w:ascii="Arial" w:eastAsia="ヒラギノ角ゴ Pro W3" w:hAnsi="Arial"/>
      <w:color w:val="000000"/>
      <w:lang w:eastAsia="en-US"/>
    </w:rPr>
  </w:style>
  <w:style w:type="paragraph" w:styleId="CommentSubject">
    <w:name w:val="annotation subject"/>
    <w:basedOn w:val="CommentText"/>
    <w:next w:val="CommentText"/>
    <w:link w:val="CommentSubjectChar"/>
    <w:semiHidden/>
    <w:unhideWhenUsed/>
    <w:locked/>
    <w:rsid w:val="00037043"/>
    <w:rPr>
      <w:b/>
      <w:bCs/>
    </w:rPr>
  </w:style>
  <w:style w:type="character" w:customStyle="1" w:styleId="CommentSubjectChar">
    <w:name w:val="Comment Subject Char"/>
    <w:basedOn w:val="CommentTextChar"/>
    <w:link w:val="CommentSubject"/>
    <w:semiHidden/>
    <w:rsid w:val="00037043"/>
    <w:rPr>
      <w:rFonts w:ascii="Arial" w:eastAsia="ヒラギノ角ゴ Pro W3" w:hAnsi="Arial"/>
      <w:b/>
      <w:bCs/>
      <w:color w:val="000000"/>
      <w:lang w:eastAsia="en-US"/>
    </w:rPr>
  </w:style>
  <w:style w:type="paragraph" w:customStyle="1" w:styleId="LMUColour">
    <w:name w:val="LMU Colour"/>
    <w:basedOn w:val="Normal"/>
    <w:link w:val="LMUColourChar"/>
    <w:qFormat/>
    <w:rsid w:val="00BD71BA"/>
    <w:pPr>
      <w:pBdr>
        <w:bottom w:val="single" w:sz="4" w:space="1" w:color="auto"/>
      </w:pBdr>
      <w:spacing w:after="120" w:line="240" w:lineRule="auto"/>
      <w:ind w:left="0" w:firstLine="0"/>
    </w:pPr>
    <w:rPr>
      <w:rFonts w:eastAsiaTheme="minorEastAsia" w:cs="Arial"/>
      <w:b/>
      <w:color w:val="800080"/>
      <w:sz w:val="28"/>
      <w:szCs w:val="32"/>
      <w:lang w:eastAsia="zh-CN"/>
    </w:rPr>
  </w:style>
  <w:style w:type="character" w:customStyle="1" w:styleId="LMUColourChar">
    <w:name w:val="LMU Colour Char"/>
    <w:basedOn w:val="DefaultParagraphFont"/>
    <w:link w:val="LMUColour"/>
    <w:rsid w:val="00BD71BA"/>
    <w:rPr>
      <w:rFonts w:ascii="Arial" w:eastAsiaTheme="minorEastAsia" w:hAnsi="Arial" w:cs="Arial"/>
      <w:b/>
      <w:color w:val="800080"/>
      <w:sz w:val="28"/>
      <w:szCs w:val="32"/>
      <w:lang w:eastAsia="zh-CN"/>
    </w:rPr>
  </w:style>
  <w:style w:type="table" w:customStyle="1" w:styleId="TableGrid3">
    <w:name w:val="Table Grid3"/>
    <w:basedOn w:val="TableNormal"/>
    <w:next w:val="TableGrid"/>
    <w:uiPriority w:val="39"/>
    <w:rsid w:val="007123B6"/>
    <w:pPr>
      <w:spacing w:line="240" w:lineRule="auto"/>
      <w:ind w:left="0" w:firstLine="0"/>
      <w:jc w:val="left"/>
    </w:pPr>
    <w:rPr>
      <w:rFonts w:ascii="Calibri" w:eastAsia="SimSun"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B31F49"/>
    <w:rPr>
      <w:b/>
      <w:bCs/>
    </w:rPr>
  </w:style>
  <w:style w:type="character" w:customStyle="1" w:styleId="f">
    <w:name w:val="f"/>
    <w:basedOn w:val="DefaultParagraphFont"/>
    <w:rsid w:val="000F3602"/>
  </w:style>
  <w:style w:type="character" w:styleId="Emphasis">
    <w:name w:val="Emphasis"/>
    <w:basedOn w:val="DefaultParagraphFont"/>
    <w:uiPriority w:val="20"/>
    <w:qFormat/>
    <w:locked/>
    <w:rsid w:val="000F3602"/>
    <w:rPr>
      <w:i/>
      <w:iCs/>
    </w:rPr>
  </w:style>
  <w:style w:type="paragraph" w:styleId="Revision">
    <w:name w:val="Revision"/>
    <w:hidden/>
    <w:uiPriority w:val="99"/>
    <w:semiHidden/>
    <w:rsid w:val="00582BEA"/>
    <w:pPr>
      <w:spacing w:line="240" w:lineRule="auto"/>
      <w:ind w:left="0" w:firstLine="0"/>
      <w:jc w:val="left"/>
    </w:pPr>
    <w:rPr>
      <w:rFonts w:ascii="Arial" w:eastAsia="ヒラギノ角ゴ Pro W3" w:hAnsi="Arial"/>
      <w:color w:val="000000"/>
      <w:sz w:val="22"/>
      <w:szCs w:val="24"/>
      <w:lang w:eastAsia="en-US"/>
    </w:rPr>
  </w:style>
  <w:style w:type="table" w:customStyle="1" w:styleId="TableGrid4">
    <w:name w:val="Table Grid4"/>
    <w:basedOn w:val="TableNormal"/>
    <w:next w:val="TableGrid"/>
    <w:uiPriority w:val="59"/>
    <w:rsid w:val="00526FAD"/>
    <w:pPr>
      <w:spacing w:line="240" w:lineRule="auto"/>
      <w:ind w:left="0"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26FAD"/>
    <w:pPr>
      <w:spacing w:line="240" w:lineRule="auto"/>
      <w:ind w:left="0"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locked/>
    <w:rsid w:val="009C7026"/>
    <w:rPr>
      <w:color w:val="800080" w:themeColor="followedHyperlink"/>
      <w:u w:val="single"/>
    </w:rPr>
  </w:style>
  <w:style w:type="character" w:styleId="PageNumber">
    <w:name w:val="page number"/>
    <w:basedOn w:val="DefaultParagraphFont"/>
    <w:semiHidden/>
    <w:unhideWhenUsed/>
    <w:locked/>
    <w:rsid w:val="009C7026"/>
  </w:style>
  <w:style w:type="numbering" w:customStyle="1" w:styleId="Style1">
    <w:name w:val="Style1"/>
    <w:uiPriority w:val="99"/>
    <w:rsid w:val="00E474D8"/>
    <w:pPr>
      <w:numPr>
        <w:numId w:val="20"/>
      </w:numPr>
    </w:pPr>
  </w:style>
  <w:style w:type="paragraph" w:styleId="Title">
    <w:name w:val="Title"/>
    <w:basedOn w:val="Normal"/>
    <w:next w:val="Normal"/>
    <w:link w:val="TitleChar"/>
    <w:qFormat/>
    <w:locked/>
    <w:rsid w:val="00C251FA"/>
    <w:pPr>
      <w:tabs>
        <w:tab w:val="left" w:pos="142"/>
      </w:tabs>
      <w:ind w:left="0" w:hanging="709"/>
      <w:jc w:val="left"/>
    </w:pPr>
    <w:rPr>
      <w:rFonts w:cs="Arial"/>
      <w:b/>
      <w:sz w:val="24"/>
    </w:rPr>
  </w:style>
  <w:style w:type="character" w:customStyle="1" w:styleId="TitleChar">
    <w:name w:val="Title Char"/>
    <w:basedOn w:val="DefaultParagraphFont"/>
    <w:link w:val="Title"/>
    <w:rsid w:val="00C251FA"/>
    <w:rPr>
      <w:rFonts w:ascii="Arial" w:eastAsia="ヒラギノ角ゴ Pro W3" w:hAnsi="Arial" w:cs="Arial"/>
      <w:b/>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464876">
      <w:bodyDiv w:val="1"/>
      <w:marLeft w:val="0"/>
      <w:marRight w:val="0"/>
      <w:marTop w:val="0"/>
      <w:marBottom w:val="0"/>
      <w:divBdr>
        <w:top w:val="none" w:sz="0" w:space="0" w:color="auto"/>
        <w:left w:val="none" w:sz="0" w:space="0" w:color="auto"/>
        <w:bottom w:val="none" w:sz="0" w:space="0" w:color="auto"/>
        <w:right w:val="none" w:sz="0" w:space="0" w:color="auto"/>
      </w:divBdr>
    </w:div>
    <w:div w:id="361712610">
      <w:bodyDiv w:val="1"/>
      <w:marLeft w:val="0"/>
      <w:marRight w:val="0"/>
      <w:marTop w:val="0"/>
      <w:marBottom w:val="0"/>
      <w:divBdr>
        <w:top w:val="none" w:sz="0" w:space="0" w:color="auto"/>
        <w:left w:val="none" w:sz="0" w:space="0" w:color="auto"/>
        <w:bottom w:val="none" w:sz="0" w:space="0" w:color="auto"/>
        <w:right w:val="none" w:sz="0" w:space="0" w:color="auto"/>
      </w:divBdr>
    </w:div>
    <w:div w:id="955141124">
      <w:bodyDiv w:val="1"/>
      <w:marLeft w:val="0"/>
      <w:marRight w:val="0"/>
      <w:marTop w:val="0"/>
      <w:marBottom w:val="0"/>
      <w:divBdr>
        <w:top w:val="none" w:sz="0" w:space="0" w:color="auto"/>
        <w:left w:val="none" w:sz="0" w:space="0" w:color="auto"/>
        <w:bottom w:val="none" w:sz="0" w:space="0" w:color="auto"/>
        <w:right w:val="none" w:sz="0" w:space="0" w:color="auto"/>
      </w:divBdr>
      <w:divsChild>
        <w:div w:id="827986509">
          <w:marLeft w:val="0"/>
          <w:marRight w:val="0"/>
          <w:marTop w:val="0"/>
          <w:marBottom w:val="0"/>
          <w:divBdr>
            <w:top w:val="none" w:sz="0" w:space="0" w:color="auto"/>
            <w:left w:val="none" w:sz="0" w:space="0" w:color="auto"/>
            <w:bottom w:val="none" w:sz="0" w:space="0" w:color="auto"/>
            <w:right w:val="none" w:sz="0" w:space="0" w:color="auto"/>
          </w:divBdr>
          <w:divsChild>
            <w:div w:id="1826117189">
              <w:marLeft w:val="0"/>
              <w:marRight w:val="0"/>
              <w:marTop w:val="0"/>
              <w:marBottom w:val="0"/>
              <w:divBdr>
                <w:top w:val="none" w:sz="0" w:space="0" w:color="auto"/>
                <w:left w:val="none" w:sz="0" w:space="0" w:color="auto"/>
                <w:bottom w:val="none" w:sz="0" w:space="0" w:color="auto"/>
                <w:right w:val="none" w:sz="0" w:space="0" w:color="auto"/>
              </w:divBdr>
            </w:div>
          </w:divsChild>
        </w:div>
        <w:div w:id="1564173749">
          <w:marLeft w:val="0"/>
          <w:marRight w:val="0"/>
          <w:marTop w:val="0"/>
          <w:marBottom w:val="0"/>
          <w:divBdr>
            <w:top w:val="none" w:sz="0" w:space="0" w:color="auto"/>
            <w:left w:val="none" w:sz="0" w:space="0" w:color="auto"/>
            <w:bottom w:val="none" w:sz="0" w:space="0" w:color="auto"/>
            <w:right w:val="none" w:sz="0" w:space="0" w:color="auto"/>
          </w:divBdr>
          <w:divsChild>
            <w:div w:id="562911090">
              <w:marLeft w:val="0"/>
              <w:marRight w:val="0"/>
              <w:marTop w:val="0"/>
              <w:marBottom w:val="0"/>
              <w:divBdr>
                <w:top w:val="none" w:sz="0" w:space="0" w:color="auto"/>
                <w:left w:val="none" w:sz="0" w:space="0" w:color="auto"/>
                <w:bottom w:val="none" w:sz="0" w:space="0" w:color="auto"/>
                <w:right w:val="none" w:sz="0" w:space="0" w:color="auto"/>
              </w:divBdr>
            </w:div>
          </w:divsChild>
        </w:div>
        <w:div w:id="1707371213">
          <w:marLeft w:val="0"/>
          <w:marRight w:val="0"/>
          <w:marTop w:val="0"/>
          <w:marBottom w:val="0"/>
          <w:divBdr>
            <w:top w:val="none" w:sz="0" w:space="0" w:color="auto"/>
            <w:left w:val="none" w:sz="0" w:space="0" w:color="auto"/>
            <w:bottom w:val="none" w:sz="0" w:space="0" w:color="auto"/>
            <w:right w:val="none" w:sz="0" w:space="0" w:color="auto"/>
          </w:divBdr>
          <w:divsChild>
            <w:div w:id="1735618037">
              <w:marLeft w:val="0"/>
              <w:marRight w:val="0"/>
              <w:marTop w:val="0"/>
              <w:marBottom w:val="0"/>
              <w:divBdr>
                <w:top w:val="none" w:sz="0" w:space="0" w:color="auto"/>
                <w:left w:val="none" w:sz="0" w:space="0" w:color="auto"/>
                <w:bottom w:val="none" w:sz="0" w:space="0" w:color="auto"/>
                <w:right w:val="none" w:sz="0" w:space="0" w:color="auto"/>
              </w:divBdr>
            </w:div>
          </w:divsChild>
        </w:div>
        <w:div w:id="1916090972">
          <w:marLeft w:val="0"/>
          <w:marRight w:val="0"/>
          <w:marTop w:val="0"/>
          <w:marBottom w:val="0"/>
          <w:divBdr>
            <w:top w:val="none" w:sz="0" w:space="0" w:color="auto"/>
            <w:left w:val="none" w:sz="0" w:space="0" w:color="auto"/>
            <w:bottom w:val="none" w:sz="0" w:space="0" w:color="auto"/>
            <w:right w:val="none" w:sz="0" w:space="0" w:color="auto"/>
          </w:divBdr>
          <w:divsChild>
            <w:div w:id="1596792090">
              <w:marLeft w:val="0"/>
              <w:marRight w:val="0"/>
              <w:marTop w:val="0"/>
              <w:marBottom w:val="0"/>
              <w:divBdr>
                <w:top w:val="none" w:sz="0" w:space="0" w:color="auto"/>
                <w:left w:val="none" w:sz="0" w:space="0" w:color="auto"/>
                <w:bottom w:val="none" w:sz="0" w:space="0" w:color="auto"/>
                <w:right w:val="none" w:sz="0" w:space="0" w:color="auto"/>
              </w:divBdr>
            </w:div>
          </w:divsChild>
        </w:div>
        <w:div w:id="1637107272">
          <w:marLeft w:val="0"/>
          <w:marRight w:val="0"/>
          <w:marTop w:val="0"/>
          <w:marBottom w:val="0"/>
          <w:divBdr>
            <w:top w:val="none" w:sz="0" w:space="0" w:color="auto"/>
            <w:left w:val="none" w:sz="0" w:space="0" w:color="auto"/>
            <w:bottom w:val="none" w:sz="0" w:space="0" w:color="auto"/>
            <w:right w:val="none" w:sz="0" w:space="0" w:color="auto"/>
          </w:divBdr>
          <w:divsChild>
            <w:div w:id="2026248023">
              <w:marLeft w:val="0"/>
              <w:marRight w:val="0"/>
              <w:marTop w:val="0"/>
              <w:marBottom w:val="0"/>
              <w:divBdr>
                <w:top w:val="none" w:sz="0" w:space="0" w:color="auto"/>
                <w:left w:val="none" w:sz="0" w:space="0" w:color="auto"/>
                <w:bottom w:val="none" w:sz="0" w:space="0" w:color="auto"/>
                <w:right w:val="none" w:sz="0" w:space="0" w:color="auto"/>
              </w:divBdr>
            </w:div>
          </w:divsChild>
        </w:div>
        <w:div w:id="584074930">
          <w:marLeft w:val="0"/>
          <w:marRight w:val="0"/>
          <w:marTop w:val="0"/>
          <w:marBottom w:val="0"/>
          <w:divBdr>
            <w:top w:val="none" w:sz="0" w:space="0" w:color="auto"/>
            <w:left w:val="none" w:sz="0" w:space="0" w:color="auto"/>
            <w:bottom w:val="none" w:sz="0" w:space="0" w:color="auto"/>
            <w:right w:val="none" w:sz="0" w:space="0" w:color="auto"/>
          </w:divBdr>
          <w:divsChild>
            <w:div w:id="1638217696">
              <w:marLeft w:val="0"/>
              <w:marRight w:val="0"/>
              <w:marTop w:val="0"/>
              <w:marBottom w:val="0"/>
              <w:divBdr>
                <w:top w:val="none" w:sz="0" w:space="0" w:color="auto"/>
                <w:left w:val="none" w:sz="0" w:space="0" w:color="auto"/>
                <w:bottom w:val="none" w:sz="0" w:space="0" w:color="auto"/>
                <w:right w:val="none" w:sz="0" w:space="0" w:color="auto"/>
              </w:divBdr>
            </w:div>
          </w:divsChild>
        </w:div>
        <w:div w:id="451633623">
          <w:marLeft w:val="0"/>
          <w:marRight w:val="0"/>
          <w:marTop w:val="0"/>
          <w:marBottom w:val="0"/>
          <w:divBdr>
            <w:top w:val="none" w:sz="0" w:space="0" w:color="auto"/>
            <w:left w:val="none" w:sz="0" w:space="0" w:color="auto"/>
            <w:bottom w:val="none" w:sz="0" w:space="0" w:color="auto"/>
            <w:right w:val="none" w:sz="0" w:space="0" w:color="auto"/>
          </w:divBdr>
          <w:divsChild>
            <w:div w:id="1094206066">
              <w:marLeft w:val="0"/>
              <w:marRight w:val="0"/>
              <w:marTop w:val="0"/>
              <w:marBottom w:val="0"/>
              <w:divBdr>
                <w:top w:val="none" w:sz="0" w:space="0" w:color="auto"/>
                <w:left w:val="none" w:sz="0" w:space="0" w:color="auto"/>
                <w:bottom w:val="none" w:sz="0" w:space="0" w:color="auto"/>
                <w:right w:val="none" w:sz="0" w:space="0" w:color="auto"/>
              </w:divBdr>
            </w:div>
          </w:divsChild>
        </w:div>
        <w:div w:id="960259933">
          <w:marLeft w:val="0"/>
          <w:marRight w:val="0"/>
          <w:marTop w:val="0"/>
          <w:marBottom w:val="0"/>
          <w:divBdr>
            <w:top w:val="none" w:sz="0" w:space="0" w:color="auto"/>
            <w:left w:val="none" w:sz="0" w:space="0" w:color="auto"/>
            <w:bottom w:val="none" w:sz="0" w:space="0" w:color="auto"/>
            <w:right w:val="none" w:sz="0" w:space="0" w:color="auto"/>
          </w:divBdr>
          <w:divsChild>
            <w:div w:id="432362914">
              <w:marLeft w:val="0"/>
              <w:marRight w:val="0"/>
              <w:marTop w:val="0"/>
              <w:marBottom w:val="0"/>
              <w:divBdr>
                <w:top w:val="none" w:sz="0" w:space="0" w:color="auto"/>
                <w:left w:val="none" w:sz="0" w:space="0" w:color="auto"/>
                <w:bottom w:val="none" w:sz="0" w:space="0" w:color="auto"/>
                <w:right w:val="none" w:sz="0" w:space="0" w:color="auto"/>
              </w:divBdr>
            </w:div>
          </w:divsChild>
        </w:div>
        <w:div w:id="670717133">
          <w:marLeft w:val="0"/>
          <w:marRight w:val="0"/>
          <w:marTop w:val="0"/>
          <w:marBottom w:val="0"/>
          <w:divBdr>
            <w:top w:val="none" w:sz="0" w:space="0" w:color="auto"/>
            <w:left w:val="none" w:sz="0" w:space="0" w:color="auto"/>
            <w:bottom w:val="none" w:sz="0" w:space="0" w:color="auto"/>
            <w:right w:val="none" w:sz="0" w:space="0" w:color="auto"/>
          </w:divBdr>
          <w:divsChild>
            <w:div w:id="24643412">
              <w:marLeft w:val="0"/>
              <w:marRight w:val="0"/>
              <w:marTop w:val="0"/>
              <w:marBottom w:val="0"/>
              <w:divBdr>
                <w:top w:val="none" w:sz="0" w:space="0" w:color="auto"/>
                <w:left w:val="none" w:sz="0" w:space="0" w:color="auto"/>
                <w:bottom w:val="none" w:sz="0" w:space="0" w:color="auto"/>
                <w:right w:val="none" w:sz="0" w:space="0" w:color="auto"/>
              </w:divBdr>
            </w:div>
          </w:divsChild>
        </w:div>
        <w:div w:id="1827624738">
          <w:marLeft w:val="0"/>
          <w:marRight w:val="0"/>
          <w:marTop w:val="0"/>
          <w:marBottom w:val="0"/>
          <w:divBdr>
            <w:top w:val="none" w:sz="0" w:space="0" w:color="auto"/>
            <w:left w:val="none" w:sz="0" w:space="0" w:color="auto"/>
            <w:bottom w:val="none" w:sz="0" w:space="0" w:color="auto"/>
            <w:right w:val="none" w:sz="0" w:space="0" w:color="auto"/>
          </w:divBdr>
          <w:divsChild>
            <w:div w:id="1341273645">
              <w:marLeft w:val="0"/>
              <w:marRight w:val="0"/>
              <w:marTop w:val="0"/>
              <w:marBottom w:val="0"/>
              <w:divBdr>
                <w:top w:val="none" w:sz="0" w:space="0" w:color="auto"/>
                <w:left w:val="none" w:sz="0" w:space="0" w:color="auto"/>
                <w:bottom w:val="none" w:sz="0" w:space="0" w:color="auto"/>
                <w:right w:val="none" w:sz="0" w:space="0" w:color="auto"/>
              </w:divBdr>
            </w:div>
          </w:divsChild>
        </w:div>
        <w:div w:id="239752910">
          <w:marLeft w:val="0"/>
          <w:marRight w:val="0"/>
          <w:marTop w:val="0"/>
          <w:marBottom w:val="0"/>
          <w:divBdr>
            <w:top w:val="none" w:sz="0" w:space="0" w:color="auto"/>
            <w:left w:val="none" w:sz="0" w:space="0" w:color="auto"/>
            <w:bottom w:val="none" w:sz="0" w:space="0" w:color="auto"/>
            <w:right w:val="none" w:sz="0" w:space="0" w:color="auto"/>
          </w:divBdr>
          <w:divsChild>
            <w:div w:id="1751731773">
              <w:marLeft w:val="0"/>
              <w:marRight w:val="0"/>
              <w:marTop w:val="0"/>
              <w:marBottom w:val="0"/>
              <w:divBdr>
                <w:top w:val="none" w:sz="0" w:space="0" w:color="auto"/>
                <w:left w:val="none" w:sz="0" w:space="0" w:color="auto"/>
                <w:bottom w:val="none" w:sz="0" w:space="0" w:color="auto"/>
                <w:right w:val="none" w:sz="0" w:space="0" w:color="auto"/>
              </w:divBdr>
            </w:div>
          </w:divsChild>
        </w:div>
        <w:div w:id="835532909">
          <w:marLeft w:val="0"/>
          <w:marRight w:val="0"/>
          <w:marTop w:val="0"/>
          <w:marBottom w:val="0"/>
          <w:divBdr>
            <w:top w:val="none" w:sz="0" w:space="0" w:color="auto"/>
            <w:left w:val="none" w:sz="0" w:space="0" w:color="auto"/>
            <w:bottom w:val="none" w:sz="0" w:space="0" w:color="auto"/>
            <w:right w:val="none" w:sz="0" w:space="0" w:color="auto"/>
          </w:divBdr>
          <w:divsChild>
            <w:div w:id="1038969044">
              <w:marLeft w:val="0"/>
              <w:marRight w:val="0"/>
              <w:marTop w:val="0"/>
              <w:marBottom w:val="0"/>
              <w:divBdr>
                <w:top w:val="none" w:sz="0" w:space="0" w:color="auto"/>
                <w:left w:val="none" w:sz="0" w:space="0" w:color="auto"/>
                <w:bottom w:val="none" w:sz="0" w:space="0" w:color="auto"/>
                <w:right w:val="none" w:sz="0" w:space="0" w:color="auto"/>
              </w:divBdr>
            </w:div>
          </w:divsChild>
        </w:div>
        <w:div w:id="1616980445">
          <w:marLeft w:val="0"/>
          <w:marRight w:val="0"/>
          <w:marTop w:val="0"/>
          <w:marBottom w:val="0"/>
          <w:divBdr>
            <w:top w:val="none" w:sz="0" w:space="0" w:color="auto"/>
            <w:left w:val="none" w:sz="0" w:space="0" w:color="auto"/>
            <w:bottom w:val="none" w:sz="0" w:space="0" w:color="auto"/>
            <w:right w:val="none" w:sz="0" w:space="0" w:color="auto"/>
          </w:divBdr>
          <w:divsChild>
            <w:div w:id="966007942">
              <w:marLeft w:val="0"/>
              <w:marRight w:val="0"/>
              <w:marTop w:val="0"/>
              <w:marBottom w:val="0"/>
              <w:divBdr>
                <w:top w:val="none" w:sz="0" w:space="0" w:color="auto"/>
                <w:left w:val="none" w:sz="0" w:space="0" w:color="auto"/>
                <w:bottom w:val="none" w:sz="0" w:space="0" w:color="auto"/>
                <w:right w:val="none" w:sz="0" w:space="0" w:color="auto"/>
              </w:divBdr>
            </w:div>
          </w:divsChild>
        </w:div>
        <w:div w:id="1274749030">
          <w:marLeft w:val="0"/>
          <w:marRight w:val="0"/>
          <w:marTop w:val="0"/>
          <w:marBottom w:val="0"/>
          <w:divBdr>
            <w:top w:val="none" w:sz="0" w:space="0" w:color="auto"/>
            <w:left w:val="none" w:sz="0" w:space="0" w:color="auto"/>
            <w:bottom w:val="none" w:sz="0" w:space="0" w:color="auto"/>
            <w:right w:val="none" w:sz="0" w:space="0" w:color="auto"/>
          </w:divBdr>
          <w:divsChild>
            <w:div w:id="340284177">
              <w:marLeft w:val="0"/>
              <w:marRight w:val="0"/>
              <w:marTop w:val="0"/>
              <w:marBottom w:val="0"/>
              <w:divBdr>
                <w:top w:val="none" w:sz="0" w:space="0" w:color="auto"/>
                <w:left w:val="none" w:sz="0" w:space="0" w:color="auto"/>
                <w:bottom w:val="none" w:sz="0" w:space="0" w:color="auto"/>
                <w:right w:val="none" w:sz="0" w:space="0" w:color="auto"/>
              </w:divBdr>
            </w:div>
          </w:divsChild>
        </w:div>
        <w:div w:id="755396035">
          <w:marLeft w:val="0"/>
          <w:marRight w:val="0"/>
          <w:marTop w:val="0"/>
          <w:marBottom w:val="0"/>
          <w:divBdr>
            <w:top w:val="none" w:sz="0" w:space="0" w:color="auto"/>
            <w:left w:val="none" w:sz="0" w:space="0" w:color="auto"/>
            <w:bottom w:val="none" w:sz="0" w:space="0" w:color="auto"/>
            <w:right w:val="none" w:sz="0" w:space="0" w:color="auto"/>
          </w:divBdr>
          <w:divsChild>
            <w:div w:id="1867667907">
              <w:marLeft w:val="0"/>
              <w:marRight w:val="0"/>
              <w:marTop w:val="0"/>
              <w:marBottom w:val="0"/>
              <w:divBdr>
                <w:top w:val="none" w:sz="0" w:space="0" w:color="auto"/>
                <w:left w:val="none" w:sz="0" w:space="0" w:color="auto"/>
                <w:bottom w:val="none" w:sz="0" w:space="0" w:color="auto"/>
                <w:right w:val="none" w:sz="0" w:space="0" w:color="auto"/>
              </w:divBdr>
            </w:div>
          </w:divsChild>
        </w:div>
        <w:div w:id="1012608912">
          <w:marLeft w:val="0"/>
          <w:marRight w:val="0"/>
          <w:marTop w:val="0"/>
          <w:marBottom w:val="0"/>
          <w:divBdr>
            <w:top w:val="none" w:sz="0" w:space="0" w:color="auto"/>
            <w:left w:val="none" w:sz="0" w:space="0" w:color="auto"/>
            <w:bottom w:val="none" w:sz="0" w:space="0" w:color="auto"/>
            <w:right w:val="none" w:sz="0" w:space="0" w:color="auto"/>
          </w:divBdr>
          <w:divsChild>
            <w:div w:id="191119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31849">
      <w:bodyDiv w:val="1"/>
      <w:marLeft w:val="0"/>
      <w:marRight w:val="0"/>
      <w:marTop w:val="0"/>
      <w:marBottom w:val="0"/>
      <w:divBdr>
        <w:top w:val="none" w:sz="0" w:space="0" w:color="auto"/>
        <w:left w:val="none" w:sz="0" w:space="0" w:color="auto"/>
        <w:bottom w:val="none" w:sz="0" w:space="0" w:color="auto"/>
        <w:right w:val="none" w:sz="0" w:space="0" w:color="auto"/>
      </w:divBdr>
      <w:divsChild>
        <w:div w:id="976911703">
          <w:marLeft w:val="562"/>
          <w:marRight w:val="0"/>
          <w:marTop w:val="86"/>
          <w:marBottom w:val="0"/>
          <w:divBdr>
            <w:top w:val="none" w:sz="0" w:space="0" w:color="auto"/>
            <w:left w:val="none" w:sz="0" w:space="0" w:color="auto"/>
            <w:bottom w:val="none" w:sz="0" w:space="0" w:color="auto"/>
            <w:right w:val="none" w:sz="0" w:space="0" w:color="auto"/>
          </w:divBdr>
        </w:div>
        <w:div w:id="1481265353">
          <w:marLeft w:val="562"/>
          <w:marRight w:val="0"/>
          <w:marTop w:val="86"/>
          <w:marBottom w:val="0"/>
          <w:divBdr>
            <w:top w:val="none" w:sz="0" w:space="0" w:color="auto"/>
            <w:left w:val="none" w:sz="0" w:space="0" w:color="auto"/>
            <w:bottom w:val="none" w:sz="0" w:space="0" w:color="auto"/>
            <w:right w:val="none" w:sz="0" w:space="0" w:color="auto"/>
          </w:divBdr>
        </w:div>
        <w:div w:id="1883439580">
          <w:marLeft w:val="562"/>
          <w:marRight w:val="0"/>
          <w:marTop w:val="86"/>
          <w:marBottom w:val="0"/>
          <w:divBdr>
            <w:top w:val="none" w:sz="0" w:space="0" w:color="auto"/>
            <w:left w:val="none" w:sz="0" w:space="0" w:color="auto"/>
            <w:bottom w:val="none" w:sz="0" w:space="0" w:color="auto"/>
            <w:right w:val="none" w:sz="0" w:space="0" w:color="auto"/>
          </w:divBdr>
        </w:div>
        <w:div w:id="612715339">
          <w:marLeft w:val="562"/>
          <w:marRight w:val="0"/>
          <w:marTop w:val="86"/>
          <w:marBottom w:val="0"/>
          <w:divBdr>
            <w:top w:val="none" w:sz="0" w:space="0" w:color="auto"/>
            <w:left w:val="none" w:sz="0" w:space="0" w:color="auto"/>
            <w:bottom w:val="none" w:sz="0" w:space="0" w:color="auto"/>
            <w:right w:val="none" w:sz="0" w:space="0" w:color="auto"/>
          </w:divBdr>
        </w:div>
        <w:div w:id="5375993">
          <w:marLeft w:val="562"/>
          <w:marRight w:val="0"/>
          <w:marTop w:val="86"/>
          <w:marBottom w:val="0"/>
          <w:divBdr>
            <w:top w:val="none" w:sz="0" w:space="0" w:color="auto"/>
            <w:left w:val="none" w:sz="0" w:space="0" w:color="auto"/>
            <w:bottom w:val="none" w:sz="0" w:space="0" w:color="auto"/>
            <w:right w:val="none" w:sz="0" w:space="0" w:color="auto"/>
          </w:divBdr>
        </w:div>
        <w:div w:id="1516385269">
          <w:marLeft w:val="562"/>
          <w:marRight w:val="0"/>
          <w:marTop w:val="86"/>
          <w:marBottom w:val="0"/>
          <w:divBdr>
            <w:top w:val="none" w:sz="0" w:space="0" w:color="auto"/>
            <w:left w:val="none" w:sz="0" w:space="0" w:color="auto"/>
            <w:bottom w:val="none" w:sz="0" w:space="0" w:color="auto"/>
            <w:right w:val="none" w:sz="0" w:space="0" w:color="auto"/>
          </w:divBdr>
        </w:div>
      </w:divsChild>
    </w:div>
    <w:div w:id="1527058134">
      <w:bodyDiv w:val="1"/>
      <w:marLeft w:val="0"/>
      <w:marRight w:val="0"/>
      <w:marTop w:val="0"/>
      <w:marBottom w:val="0"/>
      <w:divBdr>
        <w:top w:val="none" w:sz="0" w:space="0" w:color="auto"/>
        <w:left w:val="none" w:sz="0" w:space="0" w:color="auto"/>
        <w:bottom w:val="none" w:sz="0" w:space="0" w:color="auto"/>
        <w:right w:val="none" w:sz="0" w:space="0" w:color="auto"/>
      </w:divBdr>
    </w:div>
    <w:div w:id="1599946151">
      <w:bodyDiv w:val="1"/>
      <w:marLeft w:val="0"/>
      <w:marRight w:val="0"/>
      <w:marTop w:val="0"/>
      <w:marBottom w:val="0"/>
      <w:divBdr>
        <w:top w:val="none" w:sz="0" w:space="0" w:color="auto"/>
        <w:left w:val="none" w:sz="0" w:space="0" w:color="auto"/>
        <w:bottom w:val="none" w:sz="0" w:space="0" w:color="auto"/>
        <w:right w:val="none" w:sz="0" w:space="0" w:color="auto"/>
      </w:divBdr>
      <w:divsChild>
        <w:div w:id="1004286258">
          <w:marLeft w:val="562"/>
          <w:marRight w:val="0"/>
          <w:marTop w:val="86"/>
          <w:marBottom w:val="0"/>
          <w:divBdr>
            <w:top w:val="none" w:sz="0" w:space="0" w:color="auto"/>
            <w:left w:val="none" w:sz="0" w:space="0" w:color="auto"/>
            <w:bottom w:val="none" w:sz="0" w:space="0" w:color="auto"/>
            <w:right w:val="none" w:sz="0" w:space="0" w:color="auto"/>
          </w:divBdr>
        </w:div>
        <w:div w:id="341014827">
          <w:marLeft w:val="562"/>
          <w:marRight w:val="0"/>
          <w:marTop w:val="86"/>
          <w:marBottom w:val="0"/>
          <w:divBdr>
            <w:top w:val="none" w:sz="0" w:space="0" w:color="auto"/>
            <w:left w:val="none" w:sz="0" w:space="0" w:color="auto"/>
            <w:bottom w:val="none" w:sz="0" w:space="0" w:color="auto"/>
            <w:right w:val="none" w:sz="0" w:space="0" w:color="auto"/>
          </w:divBdr>
        </w:div>
        <w:div w:id="797187482">
          <w:marLeft w:val="562"/>
          <w:marRight w:val="0"/>
          <w:marTop w:val="86"/>
          <w:marBottom w:val="0"/>
          <w:divBdr>
            <w:top w:val="none" w:sz="0" w:space="0" w:color="auto"/>
            <w:left w:val="none" w:sz="0" w:space="0" w:color="auto"/>
            <w:bottom w:val="none" w:sz="0" w:space="0" w:color="auto"/>
            <w:right w:val="none" w:sz="0" w:space="0" w:color="auto"/>
          </w:divBdr>
        </w:div>
        <w:div w:id="1312365246">
          <w:marLeft w:val="562"/>
          <w:marRight w:val="0"/>
          <w:marTop w:val="86"/>
          <w:marBottom w:val="0"/>
          <w:divBdr>
            <w:top w:val="none" w:sz="0" w:space="0" w:color="auto"/>
            <w:left w:val="none" w:sz="0" w:space="0" w:color="auto"/>
            <w:bottom w:val="none" w:sz="0" w:space="0" w:color="auto"/>
            <w:right w:val="none" w:sz="0" w:space="0" w:color="auto"/>
          </w:divBdr>
        </w:div>
        <w:div w:id="1336374584">
          <w:marLeft w:val="562"/>
          <w:marRight w:val="0"/>
          <w:marTop w:val="86"/>
          <w:marBottom w:val="0"/>
          <w:divBdr>
            <w:top w:val="none" w:sz="0" w:space="0" w:color="auto"/>
            <w:left w:val="none" w:sz="0" w:space="0" w:color="auto"/>
            <w:bottom w:val="none" w:sz="0" w:space="0" w:color="auto"/>
            <w:right w:val="none" w:sz="0" w:space="0" w:color="auto"/>
          </w:divBdr>
        </w:div>
        <w:div w:id="1468089368">
          <w:marLeft w:val="562"/>
          <w:marRight w:val="0"/>
          <w:marTop w:val="86"/>
          <w:marBottom w:val="0"/>
          <w:divBdr>
            <w:top w:val="none" w:sz="0" w:space="0" w:color="auto"/>
            <w:left w:val="none" w:sz="0" w:space="0" w:color="auto"/>
            <w:bottom w:val="none" w:sz="0" w:space="0" w:color="auto"/>
            <w:right w:val="none" w:sz="0" w:space="0" w:color="auto"/>
          </w:divBdr>
        </w:div>
      </w:divsChild>
    </w:div>
    <w:div w:id="1609701118">
      <w:bodyDiv w:val="1"/>
      <w:marLeft w:val="0"/>
      <w:marRight w:val="0"/>
      <w:marTop w:val="0"/>
      <w:marBottom w:val="0"/>
      <w:divBdr>
        <w:top w:val="none" w:sz="0" w:space="0" w:color="auto"/>
        <w:left w:val="none" w:sz="0" w:space="0" w:color="auto"/>
        <w:bottom w:val="none" w:sz="0" w:space="0" w:color="auto"/>
        <w:right w:val="none" w:sz="0" w:space="0" w:color="auto"/>
      </w:divBdr>
      <w:divsChild>
        <w:div w:id="579294760">
          <w:marLeft w:val="0"/>
          <w:marRight w:val="0"/>
          <w:marTop w:val="0"/>
          <w:marBottom w:val="0"/>
          <w:divBdr>
            <w:top w:val="none" w:sz="0" w:space="0" w:color="auto"/>
            <w:left w:val="none" w:sz="0" w:space="0" w:color="auto"/>
            <w:bottom w:val="none" w:sz="0" w:space="0" w:color="auto"/>
            <w:right w:val="none" w:sz="0" w:space="0" w:color="auto"/>
          </w:divBdr>
          <w:divsChild>
            <w:div w:id="1227572280">
              <w:marLeft w:val="0"/>
              <w:marRight w:val="0"/>
              <w:marTop w:val="0"/>
              <w:marBottom w:val="0"/>
              <w:divBdr>
                <w:top w:val="none" w:sz="0" w:space="0" w:color="auto"/>
                <w:left w:val="none" w:sz="0" w:space="0" w:color="auto"/>
                <w:bottom w:val="none" w:sz="0" w:space="0" w:color="auto"/>
                <w:right w:val="none" w:sz="0" w:space="0" w:color="auto"/>
              </w:divBdr>
            </w:div>
          </w:divsChild>
        </w:div>
        <w:div w:id="594291793">
          <w:marLeft w:val="0"/>
          <w:marRight w:val="0"/>
          <w:marTop w:val="0"/>
          <w:marBottom w:val="0"/>
          <w:divBdr>
            <w:top w:val="none" w:sz="0" w:space="0" w:color="auto"/>
            <w:left w:val="none" w:sz="0" w:space="0" w:color="auto"/>
            <w:bottom w:val="none" w:sz="0" w:space="0" w:color="auto"/>
            <w:right w:val="none" w:sz="0" w:space="0" w:color="auto"/>
          </w:divBdr>
          <w:divsChild>
            <w:div w:id="1709454604">
              <w:marLeft w:val="0"/>
              <w:marRight w:val="0"/>
              <w:marTop w:val="0"/>
              <w:marBottom w:val="0"/>
              <w:divBdr>
                <w:top w:val="none" w:sz="0" w:space="0" w:color="auto"/>
                <w:left w:val="none" w:sz="0" w:space="0" w:color="auto"/>
                <w:bottom w:val="none" w:sz="0" w:space="0" w:color="auto"/>
                <w:right w:val="none" w:sz="0" w:space="0" w:color="auto"/>
              </w:divBdr>
            </w:div>
          </w:divsChild>
        </w:div>
        <w:div w:id="1637447510">
          <w:marLeft w:val="0"/>
          <w:marRight w:val="0"/>
          <w:marTop w:val="0"/>
          <w:marBottom w:val="0"/>
          <w:divBdr>
            <w:top w:val="none" w:sz="0" w:space="0" w:color="auto"/>
            <w:left w:val="none" w:sz="0" w:space="0" w:color="auto"/>
            <w:bottom w:val="none" w:sz="0" w:space="0" w:color="auto"/>
            <w:right w:val="none" w:sz="0" w:space="0" w:color="auto"/>
          </w:divBdr>
          <w:divsChild>
            <w:div w:id="915355958">
              <w:marLeft w:val="0"/>
              <w:marRight w:val="0"/>
              <w:marTop w:val="0"/>
              <w:marBottom w:val="0"/>
              <w:divBdr>
                <w:top w:val="none" w:sz="0" w:space="0" w:color="auto"/>
                <w:left w:val="none" w:sz="0" w:space="0" w:color="auto"/>
                <w:bottom w:val="none" w:sz="0" w:space="0" w:color="auto"/>
                <w:right w:val="none" w:sz="0" w:space="0" w:color="auto"/>
              </w:divBdr>
            </w:div>
          </w:divsChild>
        </w:div>
        <w:div w:id="282152467">
          <w:marLeft w:val="0"/>
          <w:marRight w:val="0"/>
          <w:marTop w:val="0"/>
          <w:marBottom w:val="0"/>
          <w:divBdr>
            <w:top w:val="none" w:sz="0" w:space="0" w:color="auto"/>
            <w:left w:val="none" w:sz="0" w:space="0" w:color="auto"/>
            <w:bottom w:val="none" w:sz="0" w:space="0" w:color="auto"/>
            <w:right w:val="none" w:sz="0" w:space="0" w:color="auto"/>
          </w:divBdr>
          <w:divsChild>
            <w:div w:id="1088817783">
              <w:marLeft w:val="0"/>
              <w:marRight w:val="0"/>
              <w:marTop w:val="0"/>
              <w:marBottom w:val="0"/>
              <w:divBdr>
                <w:top w:val="none" w:sz="0" w:space="0" w:color="auto"/>
                <w:left w:val="none" w:sz="0" w:space="0" w:color="auto"/>
                <w:bottom w:val="none" w:sz="0" w:space="0" w:color="auto"/>
                <w:right w:val="none" w:sz="0" w:space="0" w:color="auto"/>
              </w:divBdr>
            </w:div>
          </w:divsChild>
        </w:div>
        <w:div w:id="983311509">
          <w:marLeft w:val="0"/>
          <w:marRight w:val="0"/>
          <w:marTop w:val="0"/>
          <w:marBottom w:val="0"/>
          <w:divBdr>
            <w:top w:val="none" w:sz="0" w:space="0" w:color="auto"/>
            <w:left w:val="none" w:sz="0" w:space="0" w:color="auto"/>
            <w:bottom w:val="none" w:sz="0" w:space="0" w:color="auto"/>
            <w:right w:val="none" w:sz="0" w:space="0" w:color="auto"/>
          </w:divBdr>
          <w:divsChild>
            <w:div w:id="1380277012">
              <w:marLeft w:val="0"/>
              <w:marRight w:val="0"/>
              <w:marTop w:val="0"/>
              <w:marBottom w:val="0"/>
              <w:divBdr>
                <w:top w:val="none" w:sz="0" w:space="0" w:color="auto"/>
                <w:left w:val="none" w:sz="0" w:space="0" w:color="auto"/>
                <w:bottom w:val="none" w:sz="0" w:space="0" w:color="auto"/>
                <w:right w:val="none" w:sz="0" w:space="0" w:color="auto"/>
              </w:divBdr>
            </w:div>
          </w:divsChild>
        </w:div>
        <w:div w:id="912423232">
          <w:marLeft w:val="0"/>
          <w:marRight w:val="0"/>
          <w:marTop w:val="0"/>
          <w:marBottom w:val="0"/>
          <w:divBdr>
            <w:top w:val="none" w:sz="0" w:space="0" w:color="auto"/>
            <w:left w:val="none" w:sz="0" w:space="0" w:color="auto"/>
            <w:bottom w:val="none" w:sz="0" w:space="0" w:color="auto"/>
            <w:right w:val="none" w:sz="0" w:space="0" w:color="auto"/>
          </w:divBdr>
          <w:divsChild>
            <w:div w:id="200168849">
              <w:marLeft w:val="0"/>
              <w:marRight w:val="0"/>
              <w:marTop w:val="0"/>
              <w:marBottom w:val="0"/>
              <w:divBdr>
                <w:top w:val="none" w:sz="0" w:space="0" w:color="auto"/>
                <w:left w:val="none" w:sz="0" w:space="0" w:color="auto"/>
                <w:bottom w:val="none" w:sz="0" w:space="0" w:color="auto"/>
                <w:right w:val="none" w:sz="0" w:space="0" w:color="auto"/>
              </w:divBdr>
            </w:div>
          </w:divsChild>
        </w:div>
        <w:div w:id="955209493">
          <w:marLeft w:val="0"/>
          <w:marRight w:val="0"/>
          <w:marTop w:val="0"/>
          <w:marBottom w:val="0"/>
          <w:divBdr>
            <w:top w:val="none" w:sz="0" w:space="0" w:color="auto"/>
            <w:left w:val="none" w:sz="0" w:space="0" w:color="auto"/>
            <w:bottom w:val="none" w:sz="0" w:space="0" w:color="auto"/>
            <w:right w:val="none" w:sz="0" w:space="0" w:color="auto"/>
          </w:divBdr>
          <w:divsChild>
            <w:div w:id="1224826147">
              <w:marLeft w:val="0"/>
              <w:marRight w:val="0"/>
              <w:marTop w:val="0"/>
              <w:marBottom w:val="0"/>
              <w:divBdr>
                <w:top w:val="none" w:sz="0" w:space="0" w:color="auto"/>
                <w:left w:val="none" w:sz="0" w:space="0" w:color="auto"/>
                <w:bottom w:val="none" w:sz="0" w:space="0" w:color="auto"/>
                <w:right w:val="none" w:sz="0" w:space="0" w:color="auto"/>
              </w:divBdr>
            </w:div>
          </w:divsChild>
        </w:div>
        <w:div w:id="1989506151">
          <w:marLeft w:val="0"/>
          <w:marRight w:val="0"/>
          <w:marTop w:val="0"/>
          <w:marBottom w:val="0"/>
          <w:divBdr>
            <w:top w:val="none" w:sz="0" w:space="0" w:color="auto"/>
            <w:left w:val="none" w:sz="0" w:space="0" w:color="auto"/>
            <w:bottom w:val="none" w:sz="0" w:space="0" w:color="auto"/>
            <w:right w:val="none" w:sz="0" w:space="0" w:color="auto"/>
          </w:divBdr>
          <w:divsChild>
            <w:div w:id="1763524725">
              <w:marLeft w:val="0"/>
              <w:marRight w:val="0"/>
              <w:marTop w:val="0"/>
              <w:marBottom w:val="0"/>
              <w:divBdr>
                <w:top w:val="none" w:sz="0" w:space="0" w:color="auto"/>
                <w:left w:val="none" w:sz="0" w:space="0" w:color="auto"/>
                <w:bottom w:val="none" w:sz="0" w:space="0" w:color="auto"/>
                <w:right w:val="none" w:sz="0" w:space="0" w:color="auto"/>
              </w:divBdr>
            </w:div>
          </w:divsChild>
        </w:div>
        <w:div w:id="2062439971">
          <w:marLeft w:val="0"/>
          <w:marRight w:val="0"/>
          <w:marTop w:val="0"/>
          <w:marBottom w:val="0"/>
          <w:divBdr>
            <w:top w:val="none" w:sz="0" w:space="0" w:color="auto"/>
            <w:left w:val="none" w:sz="0" w:space="0" w:color="auto"/>
            <w:bottom w:val="none" w:sz="0" w:space="0" w:color="auto"/>
            <w:right w:val="none" w:sz="0" w:space="0" w:color="auto"/>
          </w:divBdr>
          <w:divsChild>
            <w:div w:id="1197889108">
              <w:marLeft w:val="0"/>
              <w:marRight w:val="0"/>
              <w:marTop w:val="0"/>
              <w:marBottom w:val="0"/>
              <w:divBdr>
                <w:top w:val="none" w:sz="0" w:space="0" w:color="auto"/>
                <w:left w:val="none" w:sz="0" w:space="0" w:color="auto"/>
                <w:bottom w:val="none" w:sz="0" w:space="0" w:color="auto"/>
                <w:right w:val="none" w:sz="0" w:space="0" w:color="auto"/>
              </w:divBdr>
            </w:div>
          </w:divsChild>
        </w:div>
        <w:div w:id="73627028">
          <w:marLeft w:val="0"/>
          <w:marRight w:val="0"/>
          <w:marTop w:val="0"/>
          <w:marBottom w:val="0"/>
          <w:divBdr>
            <w:top w:val="none" w:sz="0" w:space="0" w:color="auto"/>
            <w:left w:val="none" w:sz="0" w:space="0" w:color="auto"/>
            <w:bottom w:val="none" w:sz="0" w:space="0" w:color="auto"/>
            <w:right w:val="none" w:sz="0" w:space="0" w:color="auto"/>
          </w:divBdr>
          <w:divsChild>
            <w:div w:id="237792023">
              <w:marLeft w:val="0"/>
              <w:marRight w:val="0"/>
              <w:marTop w:val="0"/>
              <w:marBottom w:val="0"/>
              <w:divBdr>
                <w:top w:val="none" w:sz="0" w:space="0" w:color="auto"/>
                <w:left w:val="none" w:sz="0" w:space="0" w:color="auto"/>
                <w:bottom w:val="none" w:sz="0" w:space="0" w:color="auto"/>
                <w:right w:val="none" w:sz="0" w:space="0" w:color="auto"/>
              </w:divBdr>
            </w:div>
          </w:divsChild>
        </w:div>
        <w:div w:id="983236661">
          <w:marLeft w:val="0"/>
          <w:marRight w:val="0"/>
          <w:marTop w:val="0"/>
          <w:marBottom w:val="0"/>
          <w:divBdr>
            <w:top w:val="none" w:sz="0" w:space="0" w:color="auto"/>
            <w:left w:val="none" w:sz="0" w:space="0" w:color="auto"/>
            <w:bottom w:val="none" w:sz="0" w:space="0" w:color="auto"/>
            <w:right w:val="none" w:sz="0" w:space="0" w:color="auto"/>
          </w:divBdr>
          <w:divsChild>
            <w:div w:id="1388214912">
              <w:marLeft w:val="0"/>
              <w:marRight w:val="0"/>
              <w:marTop w:val="0"/>
              <w:marBottom w:val="0"/>
              <w:divBdr>
                <w:top w:val="none" w:sz="0" w:space="0" w:color="auto"/>
                <w:left w:val="none" w:sz="0" w:space="0" w:color="auto"/>
                <w:bottom w:val="none" w:sz="0" w:space="0" w:color="auto"/>
                <w:right w:val="none" w:sz="0" w:space="0" w:color="auto"/>
              </w:divBdr>
            </w:div>
          </w:divsChild>
        </w:div>
        <w:div w:id="1842699055">
          <w:marLeft w:val="0"/>
          <w:marRight w:val="0"/>
          <w:marTop w:val="0"/>
          <w:marBottom w:val="0"/>
          <w:divBdr>
            <w:top w:val="none" w:sz="0" w:space="0" w:color="auto"/>
            <w:left w:val="none" w:sz="0" w:space="0" w:color="auto"/>
            <w:bottom w:val="none" w:sz="0" w:space="0" w:color="auto"/>
            <w:right w:val="none" w:sz="0" w:space="0" w:color="auto"/>
          </w:divBdr>
          <w:divsChild>
            <w:div w:id="179244743">
              <w:marLeft w:val="0"/>
              <w:marRight w:val="0"/>
              <w:marTop w:val="0"/>
              <w:marBottom w:val="0"/>
              <w:divBdr>
                <w:top w:val="none" w:sz="0" w:space="0" w:color="auto"/>
                <w:left w:val="none" w:sz="0" w:space="0" w:color="auto"/>
                <w:bottom w:val="none" w:sz="0" w:space="0" w:color="auto"/>
                <w:right w:val="none" w:sz="0" w:space="0" w:color="auto"/>
              </w:divBdr>
            </w:div>
          </w:divsChild>
        </w:div>
        <w:div w:id="1462772321">
          <w:marLeft w:val="0"/>
          <w:marRight w:val="0"/>
          <w:marTop w:val="0"/>
          <w:marBottom w:val="0"/>
          <w:divBdr>
            <w:top w:val="none" w:sz="0" w:space="0" w:color="auto"/>
            <w:left w:val="none" w:sz="0" w:space="0" w:color="auto"/>
            <w:bottom w:val="none" w:sz="0" w:space="0" w:color="auto"/>
            <w:right w:val="none" w:sz="0" w:space="0" w:color="auto"/>
          </w:divBdr>
          <w:divsChild>
            <w:div w:id="888952326">
              <w:marLeft w:val="0"/>
              <w:marRight w:val="0"/>
              <w:marTop w:val="0"/>
              <w:marBottom w:val="0"/>
              <w:divBdr>
                <w:top w:val="none" w:sz="0" w:space="0" w:color="auto"/>
                <w:left w:val="none" w:sz="0" w:space="0" w:color="auto"/>
                <w:bottom w:val="none" w:sz="0" w:space="0" w:color="auto"/>
                <w:right w:val="none" w:sz="0" w:space="0" w:color="auto"/>
              </w:divBdr>
            </w:div>
          </w:divsChild>
        </w:div>
        <w:div w:id="257372155">
          <w:marLeft w:val="0"/>
          <w:marRight w:val="0"/>
          <w:marTop w:val="0"/>
          <w:marBottom w:val="0"/>
          <w:divBdr>
            <w:top w:val="none" w:sz="0" w:space="0" w:color="auto"/>
            <w:left w:val="none" w:sz="0" w:space="0" w:color="auto"/>
            <w:bottom w:val="none" w:sz="0" w:space="0" w:color="auto"/>
            <w:right w:val="none" w:sz="0" w:space="0" w:color="auto"/>
          </w:divBdr>
          <w:divsChild>
            <w:div w:id="2076277032">
              <w:marLeft w:val="0"/>
              <w:marRight w:val="0"/>
              <w:marTop w:val="0"/>
              <w:marBottom w:val="0"/>
              <w:divBdr>
                <w:top w:val="none" w:sz="0" w:space="0" w:color="auto"/>
                <w:left w:val="none" w:sz="0" w:space="0" w:color="auto"/>
                <w:bottom w:val="none" w:sz="0" w:space="0" w:color="auto"/>
                <w:right w:val="none" w:sz="0" w:space="0" w:color="auto"/>
              </w:divBdr>
            </w:div>
          </w:divsChild>
        </w:div>
        <w:div w:id="388696288">
          <w:marLeft w:val="0"/>
          <w:marRight w:val="0"/>
          <w:marTop w:val="0"/>
          <w:marBottom w:val="0"/>
          <w:divBdr>
            <w:top w:val="none" w:sz="0" w:space="0" w:color="auto"/>
            <w:left w:val="none" w:sz="0" w:space="0" w:color="auto"/>
            <w:bottom w:val="none" w:sz="0" w:space="0" w:color="auto"/>
            <w:right w:val="none" w:sz="0" w:space="0" w:color="auto"/>
          </w:divBdr>
          <w:divsChild>
            <w:div w:id="1053503312">
              <w:marLeft w:val="0"/>
              <w:marRight w:val="0"/>
              <w:marTop w:val="0"/>
              <w:marBottom w:val="0"/>
              <w:divBdr>
                <w:top w:val="none" w:sz="0" w:space="0" w:color="auto"/>
                <w:left w:val="none" w:sz="0" w:space="0" w:color="auto"/>
                <w:bottom w:val="none" w:sz="0" w:space="0" w:color="auto"/>
                <w:right w:val="none" w:sz="0" w:space="0" w:color="auto"/>
              </w:divBdr>
            </w:div>
          </w:divsChild>
        </w:div>
        <w:div w:id="1499997799">
          <w:marLeft w:val="0"/>
          <w:marRight w:val="0"/>
          <w:marTop w:val="0"/>
          <w:marBottom w:val="0"/>
          <w:divBdr>
            <w:top w:val="none" w:sz="0" w:space="0" w:color="auto"/>
            <w:left w:val="none" w:sz="0" w:space="0" w:color="auto"/>
            <w:bottom w:val="none" w:sz="0" w:space="0" w:color="auto"/>
            <w:right w:val="none" w:sz="0" w:space="0" w:color="auto"/>
          </w:divBdr>
          <w:divsChild>
            <w:div w:id="2951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07614">
      <w:bodyDiv w:val="1"/>
      <w:marLeft w:val="0"/>
      <w:marRight w:val="0"/>
      <w:marTop w:val="0"/>
      <w:marBottom w:val="0"/>
      <w:divBdr>
        <w:top w:val="none" w:sz="0" w:space="0" w:color="auto"/>
        <w:left w:val="none" w:sz="0" w:space="0" w:color="auto"/>
        <w:bottom w:val="none" w:sz="0" w:space="0" w:color="auto"/>
        <w:right w:val="none" w:sz="0" w:space="0" w:color="auto"/>
      </w:divBdr>
      <w:divsChild>
        <w:div w:id="2124381411">
          <w:marLeft w:val="562"/>
          <w:marRight w:val="0"/>
          <w:marTop w:val="86"/>
          <w:marBottom w:val="0"/>
          <w:divBdr>
            <w:top w:val="none" w:sz="0" w:space="0" w:color="auto"/>
            <w:left w:val="none" w:sz="0" w:space="0" w:color="auto"/>
            <w:bottom w:val="none" w:sz="0" w:space="0" w:color="auto"/>
            <w:right w:val="none" w:sz="0" w:space="0" w:color="auto"/>
          </w:divBdr>
        </w:div>
        <w:div w:id="1903520319">
          <w:marLeft w:val="562"/>
          <w:marRight w:val="0"/>
          <w:marTop w:val="86"/>
          <w:marBottom w:val="0"/>
          <w:divBdr>
            <w:top w:val="none" w:sz="0" w:space="0" w:color="auto"/>
            <w:left w:val="none" w:sz="0" w:space="0" w:color="auto"/>
            <w:bottom w:val="none" w:sz="0" w:space="0" w:color="auto"/>
            <w:right w:val="none" w:sz="0" w:space="0" w:color="auto"/>
          </w:divBdr>
        </w:div>
        <w:div w:id="947196760">
          <w:marLeft w:val="562"/>
          <w:marRight w:val="0"/>
          <w:marTop w:val="86"/>
          <w:marBottom w:val="0"/>
          <w:divBdr>
            <w:top w:val="none" w:sz="0" w:space="0" w:color="auto"/>
            <w:left w:val="none" w:sz="0" w:space="0" w:color="auto"/>
            <w:bottom w:val="none" w:sz="0" w:space="0" w:color="auto"/>
            <w:right w:val="none" w:sz="0" w:space="0" w:color="auto"/>
          </w:divBdr>
        </w:div>
        <w:div w:id="288586102">
          <w:marLeft w:val="562"/>
          <w:marRight w:val="0"/>
          <w:marTop w:val="86"/>
          <w:marBottom w:val="0"/>
          <w:divBdr>
            <w:top w:val="none" w:sz="0" w:space="0" w:color="auto"/>
            <w:left w:val="none" w:sz="0" w:space="0" w:color="auto"/>
            <w:bottom w:val="none" w:sz="0" w:space="0" w:color="auto"/>
            <w:right w:val="none" w:sz="0" w:space="0" w:color="auto"/>
          </w:divBdr>
        </w:div>
        <w:div w:id="8021985">
          <w:marLeft w:val="562"/>
          <w:marRight w:val="0"/>
          <w:marTop w:val="86"/>
          <w:marBottom w:val="0"/>
          <w:divBdr>
            <w:top w:val="none" w:sz="0" w:space="0" w:color="auto"/>
            <w:left w:val="none" w:sz="0" w:space="0" w:color="auto"/>
            <w:bottom w:val="none" w:sz="0" w:space="0" w:color="auto"/>
            <w:right w:val="none" w:sz="0" w:space="0" w:color="auto"/>
          </w:divBdr>
        </w:div>
        <w:div w:id="1766223355">
          <w:marLeft w:val="1123"/>
          <w:marRight w:val="0"/>
          <w:marTop w:val="77"/>
          <w:marBottom w:val="0"/>
          <w:divBdr>
            <w:top w:val="none" w:sz="0" w:space="0" w:color="auto"/>
            <w:left w:val="none" w:sz="0" w:space="0" w:color="auto"/>
            <w:bottom w:val="none" w:sz="0" w:space="0" w:color="auto"/>
            <w:right w:val="none" w:sz="0" w:space="0" w:color="auto"/>
          </w:divBdr>
        </w:div>
        <w:div w:id="1402291594">
          <w:marLeft w:val="1123"/>
          <w:marRight w:val="0"/>
          <w:marTop w:val="77"/>
          <w:marBottom w:val="0"/>
          <w:divBdr>
            <w:top w:val="none" w:sz="0" w:space="0" w:color="auto"/>
            <w:left w:val="none" w:sz="0" w:space="0" w:color="auto"/>
            <w:bottom w:val="none" w:sz="0" w:space="0" w:color="auto"/>
            <w:right w:val="none" w:sz="0" w:space="0" w:color="auto"/>
          </w:divBdr>
        </w:div>
        <w:div w:id="2103991643">
          <w:marLeft w:val="1123"/>
          <w:marRight w:val="0"/>
          <w:marTop w:val="77"/>
          <w:marBottom w:val="0"/>
          <w:divBdr>
            <w:top w:val="none" w:sz="0" w:space="0" w:color="auto"/>
            <w:left w:val="none" w:sz="0" w:space="0" w:color="auto"/>
            <w:bottom w:val="none" w:sz="0" w:space="0" w:color="auto"/>
            <w:right w:val="none" w:sz="0" w:space="0" w:color="auto"/>
          </w:divBdr>
        </w:div>
        <w:div w:id="700939769">
          <w:marLeft w:val="562"/>
          <w:marRight w:val="0"/>
          <w:marTop w:val="86"/>
          <w:marBottom w:val="0"/>
          <w:divBdr>
            <w:top w:val="none" w:sz="0" w:space="0" w:color="auto"/>
            <w:left w:val="none" w:sz="0" w:space="0" w:color="auto"/>
            <w:bottom w:val="none" w:sz="0" w:space="0" w:color="auto"/>
            <w:right w:val="none" w:sz="0" w:space="0" w:color="auto"/>
          </w:divBdr>
        </w:div>
      </w:divsChild>
    </w:div>
    <w:div w:id="1676304868">
      <w:bodyDiv w:val="1"/>
      <w:marLeft w:val="0"/>
      <w:marRight w:val="0"/>
      <w:marTop w:val="0"/>
      <w:marBottom w:val="0"/>
      <w:divBdr>
        <w:top w:val="none" w:sz="0" w:space="0" w:color="auto"/>
        <w:left w:val="none" w:sz="0" w:space="0" w:color="auto"/>
        <w:bottom w:val="none" w:sz="0" w:space="0" w:color="auto"/>
        <w:right w:val="none" w:sz="0" w:space="0" w:color="auto"/>
      </w:divBdr>
    </w:div>
    <w:div w:id="1920093116">
      <w:bodyDiv w:val="1"/>
      <w:marLeft w:val="0"/>
      <w:marRight w:val="0"/>
      <w:marTop w:val="0"/>
      <w:marBottom w:val="0"/>
      <w:divBdr>
        <w:top w:val="none" w:sz="0" w:space="0" w:color="auto"/>
        <w:left w:val="none" w:sz="0" w:space="0" w:color="auto"/>
        <w:bottom w:val="none" w:sz="0" w:space="0" w:color="auto"/>
        <w:right w:val="none" w:sz="0" w:space="0" w:color="auto"/>
      </w:divBdr>
    </w:div>
    <w:div w:id="2037852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taff.londonmet.ac.uk/admin-and-finance/quality-compliance-and-legal/risk-manag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6" ma:contentTypeDescription="Create a new document." ma:contentTypeScope="" ma:versionID="48ce7e680e0e80d00f5980f9738f3239">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e06e2200895b2828790e7ae78b70138f"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f746a-b317-4b8d-86ff-3e7e21de8a6a}"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98E29-44F8-4F0F-97DF-64C6613B3DF9}">
  <ds:schemaRefs>
    <ds:schemaRef ds:uri="http://schemas.microsoft.com/office/2006/metadata/properties"/>
    <ds:schemaRef ds:uri="http://schemas.microsoft.com/office/infopath/2007/PartnerControls"/>
    <ds:schemaRef ds:uri="6c84a01b-aede-4370-8fa9-b7a959cab531"/>
    <ds:schemaRef ds:uri="c19d9144-cbe3-4b5d-a710-46ada0e8ff40"/>
    <ds:schemaRef ds:uri="http://schemas.microsoft.com/sharepoint/v3"/>
  </ds:schemaRefs>
</ds:datastoreItem>
</file>

<file path=customXml/itemProps2.xml><?xml version="1.0" encoding="utf-8"?>
<ds:datastoreItem xmlns:ds="http://schemas.openxmlformats.org/officeDocument/2006/customXml" ds:itemID="{67C460CC-BD1B-4838-B3B8-34A128AA38F7}">
  <ds:schemaRefs>
    <ds:schemaRef ds:uri="http://schemas.microsoft.com/sharepoint/v3/contenttype/forms"/>
  </ds:schemaRefs>
</ds:datastoreItem>
</file>

<file path=customXml/itemProps3.xml><?xml version="1.0" encoding="utf-8"?>
<ds:datastoreItem xmlns:ds="http://schemas.openxmlformats.org/officeDocument/2006/customXml" ds:itemID="{2F992638-E89F-431C-9018-99C9886929F1}">
  <ds:schemaRefs>
    <ds:schemaRef ds:uri="http://schemas.openxmlformats.org/officeDocument/2006/bibliography"/>
  </ds:schemaRefs>
</ds:datastoreItem>
</file>

<file path=customXml/itemProps4.xml><?xml version="1.0" encoding="utf-8"?>
<ds:datastoreItem xmlns:ds="http://schemas.openxmlformats.org/officeDocument/2006/customXml" ds:itemID="{C20741E8-8D68-4211-906C-A2BAA17C8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4558</Words>
  <Characters>25981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Appendix A</vt:lpstr>
    </vt:vector>
  </TitlesOfParts>
  <Company>London Metropolitan University</Company>
  <LinksUpToDate>false</LinksUpToDate>
  <CharactersWithSpaces>30479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sdove</dc:creator>
  <cp:lastModifiedBy>Balgisa Ahmed</cp:lastModifiedBy>
  <cp:revision>2</cp:revision>
  <cp:lastPrinted>2015-09-14T08:48:00Z</cp:lastPrinted>
  <dcterms:created xsi:type="dcterms:W3CDTF">2025-09-23T15:33:00Z</dcterms:created>
  <dcterms:modified xsi:type="dcterms:W3CDTF">2025-09-23T15:33:00Z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ies>
</file>