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1646" w14:textId="47A3FF2A" w:rsidR="00976B95" w:rsidRPr="00FC1DF0" w:rsidRDefault="003D1C79" w:rsidP="00976B95">
      <w:pPr>
        <w:pStyle w:val="Heading1"/>
        <w:rPr>
          <w:rFonts w:ascii="Arial" w:hAnsi="Arial" w:cs="Arial"/>
          <w:bCs/>
          <w:sz w:val="32"/>
        </w:rPr>
      </w:pPr>
      <w:r w:rsidRPr="00FC1DF0">
        <w:rPr>
          <w:rFonts w:ascii="Arial" w:hAnsi="Arial" w:cs="Arial"/>
          <w:bCs/>
          <w:sz w:val="32"/>
        </w:rPr>
        <w:t>IT Equipment Policy</w:t>
      </w:r>
    </w:p>
    <w:p w14:paraId="159D4157" w14:textId="77777777" w:rsidR="00976B95" w:rsidRPr="00FC1DF0" w:rsidRDefault="00976B95" w:rsidP="00976B95">
      <w:pPr>
        <w:rPr>
          <w:rFonts w:ascii="Arial" w:hAnsi="Arial" w:cs="Arial"/>
        </w:rPr>
      </w:pPr>
    </w:p>
    <w:tbl>
      <w:tblPr>
        <w:tblStyle w:val="GridTable1Light"/>
        <w:tblW w:w="9071" w:type="dxa"/>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2405"/>
        <w:gridCol w:w="6666"/>
      </w:tblGrid>
      <w:tr w:rsidR="00976B95" w:rsidRPr="00FC1DF0" w14:paraId="58A16A22" w14:textId="77777777" w:rsidTr="00976B9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071" w:type="dxa"/>
            <w:gridSpan w:val="2"/>
            <w:tcBorders>
              <w:bottom w:val="single" w:sz="4" w:space="0" w:color="auto"/>
            </w:tcBorders>
          </w:tcPr>
          <w:p w14:paraId="4CE06C23"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Document Control Information</w:t>
            </w:r>
          </w:p>
        </w:tc>
      </w:tr>
      <w:tr w:rsidR="00976B95" w:rsidRPr="00FC1DF0" w14:paraId="2A470CC6" w14:textId="77777777" w:rsidTr="00976B95">
        <w:trPr>
          <w:trHeight w:val="283"/>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tcBorders>
            <w:hideMark/>
          </w:tcPr>
          <w:p w14:paraId="43717803"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Version control</w:t>
            </w:r>
          </w:p>
        </w:tc>
        <w:tc>
          <w:tcPr>
            <w:tcW w:w="6666" w:type="dxa"/>
            <w:tcBorders>
              <w:top w:val="single" w:sz="4" w:space="0" w:color="auto"/>
            </w:tcBorders>
            <w:hideMark/>
          </w:tcPr>
          <w:p w14:paraId="7315E6E0" w14:textId="77777777" w:rsidR="00976B95" w:rsidRPr="00FC1DF0" w:rsidRDefault="00976B95"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FC1DF0">
              <w:rPr>
                <w:rFonts w:ascii="Arial" w:hAnsi="Arial" w:cs="Arial"/>
                <w:b w:val="0"/>
                <w:bCs w:val="0"/>
              </w:rPr>
              <w:t>2.0</w:t>
            </w:r>
          </w:p>
        </w:tc>
      </w:tr>
      <w:tr w:rsidR="00976B95" w:rsidRPr="00FC1DF0" w14:paraId="7565D699"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02C1C2E7"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 xml:space="preserve">Owned by: </w:t>
            </w:r>
          </w:p>
        </w:tc>
        <w:tc>
          <w:tcPr>
            <w:tcW w:w="6666" w:type="dxa"/>
            <w:hideMark/>
          </w:tcPr>
          <w:p w14:paraId="5E5EC985" w14:textId="77777777" w:rsidR="00976B95" w:rsidRPr="00FC1DF0" w:rsidRDefault="00976B95"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sidRPr="00FC1DF0">
              <w:rPr>
                <w:rFonts w:ascii="Arial" w:hAnsi="Arial" w:cs="Arial"/>
                <w:b w:val="0"/>
                <w:bCs w:val="0"/>
              </w:rPr>
              <w:t xml:space="preserve">Director of IT Services </w:t>
            </w:r>
          </w:p>
        </w:tc>
      </w:tr>
      <w:tr w:rsidR="00976B95" w:rsidRPr="00FC1DF0" w14:paraId="7F6CD33B"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5EE68FE9"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Latest amendment on:</w:t>
            </w:r>
          </w:p>
        </w:tc>
        <w:tc>
          <w:tcPr>
            <w:tcW w:w="6666" w:type="dxa"/>
            <w:hideMark/>
          </w:tcPr>
          <w:p w14:paraId="4E2BBFE0" w14:textId="7EEE3961" w:rsidR="00976B95" w:rsidRPr="00FC1DF0" w:rsidRDefault="002B7217"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24</w:t>
            </w:r>
            <w:r w:rsidRPr="002B7217">
              <w:rPr>
                <w:rFonts w:ascii="Arial" w:hAnsi="Arial" w:cs="Arial"/>
                <w:b w:val="0"/>
                <w:bCs w:val="0"/>
                <w:vertAlign w:val="superscript"/>
              </w:rPr>
              <w:t>th</w:t>
            </w:r>
            <w:r>
              <w:rPr>
                <w:rFonts w:ascii="Arial" w:hAnsi="Arial" w:cs="Arial"/>
                <w:b w:val="0"/>
                <w:bCs w:val="0"/>
              </w:rPr>
              <w:t xml:space="preserve"> October 2025</w:t>
            </w:r>
          </w:p>
        </w:tc>
      </w:tr>
      <w:tr w:rsidR="00976B95" w:rsidRPr="00FC1DF0" w14:paraId="3CB91822"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0CF07CFE"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Approved by:</w:t>
            </w:r>
          </w:p>
        </w:tc>
        <w:tc>
          <w:tcPr>
            <w:tcW w:w="6666" w:type="dxa"/>
            <w:hideMark/>
          </w:tcPr>
          <w:p w14:paraId="00F7C7D0" w14:textId="6BDF8166" w:rsidR="0047324B" w:rsidRPr="00FC1DF0" w:rsidRDefault="0047324B"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VC on the recommendation of the SLT</w:t>
            </w:r>
          </w:p>
        </w:tc>
      </w:tr>
      <w:tr w:rsidR="00976B95" w:rsidRPr="00FC1DF0" w14:paraId="3A59C98C"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tcPr>
          <w:p w14:paraId="23DF9237"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Approved on:</w:t>
            </w:r>
          </w:p>
        </w:tc>
        <w:tc>
          <w:tcPr>
            <w:tcW w:w="6666" w:type="dxa"/>
          </w:tcPr>
          <w:p w14:paraId="52F92052" w14:textId="0E7E5AD3" w:rsidR="00976B95" w:rsidRPr="00FC1DF0" w:rsidRDefault="0047324B"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29</w:t>
            </w:r>
            <w:r w:rsidRPr="0047324B">
              <w:rPr>
                <w:rFonts w:ascii="Arial" w:hAnsi="Arial" w:cs="Arial"/>
                <w:b w:val="0"/>
                <w:bCs w:val="0"/>
                <w:vertAlign w:val="superscript"/>
              </w:rPr>
              <w:t>th</w:t>
            </w:r>
            <w:r>
              <w:rPr>
                <w:rFonts w:ascii="Arial" w:hAnsi="Arial" w:cs="Arial"/>
                <w:b w:val="0"/>
                <w:bCs w:val="0"/>
              </w:rPr>
              <w:t xml:space="preserve"> October 2025</w:t>
            </w:r>
          </w:p>
        </w:tc>
      </w:tr>
      <w:tr w:rsidR="00976B95" w:rsidRPr="00FC1DF0" w14:paraId="690395C3"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2195DEF2"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Coming into effect on:</w:t>
            </w:r>
          </w:p>
        </w:tc>
        <w:tc>
          <w:tcPr>
            <w:tcW w:w="6666" w:type="dxa"/>
            <w:hideMark/>
          </w:tcPr>
          <w:p w14:paraId="0D96B0A6" w14:textId="5EECCCED" w:rsidR="00976B95" w:rsidRPr="00FC1DF0" w:rsidRDefault="0047324B"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29</w:t>
            </w:r>
            <w:r w:rsidRPr="0047324B">
              <w:rPr>
                <w:rFonts w:ascii="Arial" w:hAnsi="Arial" w:cs="Arial"/>
                <w:b w:val="0"/>
                <w:bCs w:val="0"/>
                <w:vertAlign w:val="superscript"/>
              </w:rPr>
              <w:t>th</w:t>
            </w:r>
            <w:r>
              <w:rPr>
                <w:rFonts w:ascii="Arial" w:hAnsi="Arial" w:cs="Arial"/>
                <w:b w:val="0"/>
                <w:bCs w:val="0"/>
              </w:rPr>
              <w:t xml:space="preserve"> October 2025</w:t>
            </w:r>
          </w:p>
        </w:tc>
      </w:tr>
      <w:tr w:rsidR="00976B95" w:rsidRPr="00FC1DF0" w14:paraId="37963F2C" w14:textId="77777777" w:rsidTr="00133122">
        <w:trPr>
          <w:trHeight w:val="283"/>
        </w:trPr>
        <w:tc>
          <w:tcPr>
            <w:cnfStyle w:val="001000000000" w:firstRow="0" w:lastRow="0" w:firstColumn="1" w:lastColumn="0" w:oddVBand="0" w:evenVBand="0" w:oddHBand="0" w:evenHBand="0" w:firstRowFirstColumn="0" w:firstRowLastColumn="0" w:lastRowFirstColumn="0" w:lastRowLastColumn="0"/>
            <w:tcW w:w="2405" w:type="dxa"/>
            <w:hideMark/>
          </w:tcPr>
          <w:p w14:paraId="4995424A" w14:textId="77777777" w:rsidR="00976B95" w:rsidRPr="00FC1DF0" w:rsidRDefault="00976B95" w:rsidP="00133122">
            <w:pPr>
              <w:pStyle w:val="ListLevel1"/>
              <w:spacing w:before="0" w:after="0" w:line="240" w:lineRule="auto"/>
              <w:rPr>
                <w:rFonts w:ascii="Arial" w:hAnsi="Arial" w:cs="Arial"/>
                <w:b/>
                <w:bCs/>
              </w:rPr>
            </w:pPr>
            <w:r w:rsidRPr="00FC1DF0">
              <w:rPr>
                <w:rFonts w:ascii="Arial" w:hAnsi="Arial" w:cs="Arial"/>
              </w:rPr>
              <w:t>Review date:</w:t>
            </w:r>
          </w:p>
        </w:tc>
        <w:tc>
          <w:tcPr>
            <w:tcW w:w="6666" w:type="dxa"/>
            <w:hideMark/>
          </w:tcPr>
          <w:p w14:paraId="7E1CF2A9" w14:textId="3855151A" w:rsidR="00976B95" w:rsidRPr="00FC1DF0" w:rsidRDefault="002B7217" w:rsidP="00133122">
            <w:pPr>
              <w:pStyle w:val="ListLevel1"/>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30</w:t>
            </w:r>
            <w:r w:rsidRPr="002B7217">
              <w:rPr>
                <w:rFonts w:ascii="Arial" w:hAnsi="Arial" w:cs="Arial"/>
                <w:b w:val="0"/>
                <w:bCs w:val="0"/>
                <w:vertAlign w:val="superscript"/>
              </w:rPr>
              <w:t>th</w:t>
            </w:r>
            <w:r>
              <w:rPr>
                <w:rFonts w:ascii="Arial" w:hAnsi="Arial" w:cs="Arial"/>
                <w:b w:val="0"/>
                <w:bCs w:val="0"/>
              </w:rPr>
              <w:t xml:space="preserve"> September 2028</w:t>
            </w:r>
          </w:p>
        </w:tc>
      </w:tr>
    </w:tbl>
    <w:p w14:paraId="1A02458A" w14:textId="77777777" w:rsidR="00976B95" w:rsidRPr="00FC1DF0" w:rsidRDefault="00976B95" w:rsidP="00976B95">
      <w:pPr>
        <w:rPr>
          <w:rFonts w:ascii="Arial" w:hAnsi="Arial" w:cs="Arial"/>
        </w:rPr>
      </w:pPr>
    </w:p>
    <w:p w14:paraId="64328EB4" w14:textId="77777777" w:rsidR="00976B95" w:rsidRPr="00FC1DF0" w:rsidRDefault="00976B95" w:rsidP="00976B95">
      <w:pPr>
        <w:rPr>
          <w:rFonts w:ascii="Arial" w:eastAsiaTheme="majorEastAsia" w:hAnsi="Arial" w:cs="Arial"/>
          <w:b/>
          <w:color w:val="000000" w:themeColor="text1"/>
          <w:sz w:val="28"/>
          <w:szCs w:val="32"/>
        </w:rPr>
      </w:pPr>
      <w:r w:rsidRPr="00FC1DF0">
        <w:rPr>
          <w:rFonts w:ascii="Arial" w:hAnsi="Arial" w:cs="Arial"/>
        </w:rPr>
        <w:br w:type="page"/>
      </w:r>
    </w:p>
    <w:p w14:paraId="02998BDA" w14:textId="3D8A51C8" w:rsidR="00976B95" w:rsidRPr="00FC1DF0" w:rsidRDefault="00FC1DF0" w:rsidP="00976B95">
      <w:pPr>
        <w:pStyle w:val="Heading1"/>
        <w:numPr>
          <w:ilvl w:val="0"/>
          <w:numId w:val="1"/>
        </w:numPr>
        <w:jc w:val="both"/>
        <w:rPr>
          <w:rFonts w:ascii="Arial" w:hAnsi="Arial" w:cs="Arial"/>
        </w:rPr>
      </w:pPr>
      <w:r w:rsidRPr="00FC1DF0">
        <w:rPr>
          <w:rFonts w:ascii="Arial" w:hAnsi="Arial" w:cs="Arial"/>
        </w:rPr>
        <w:lastRenderedPageBreak/>
        <w:t>Introduction</w:t>
      </w:r>
    </w:p>
    <w:p w14:paraId="3496CD6B" w14:textId="77777777" w:rsidR="00FC1DF0" w:rsidRPr="00FC1DF0" w:rsidRDefault="00FC1DF0" w:rsidP="00FC1DF0">
      <w:pPr>
        <w:rPr>
          <w:rFonts w:ascii="Arial" w:hAnsi="Arial" w:cs="Arial"/>
        </w:rPr>
      </w:pPr>
    </w:p>
    <w:p w14:paraId="5796D25B" w14:textId="492C5562" w:rsidR="00976B95" w:rsidRPr="00FC1DF0" w:rsidRDefault="00FC1DF0" w:rsidP="00976B95">
      <w:pPr>
        <w:rPr>
          <w:rFonts w:ascii="Arial" w:hAnsi="Arial" w:cs="Arial"/>
          <w:b/>
          <w:bCs/>
          <w:sz w:val="24"/>
          <w:szCs w:val="24"/>
        </w:rPr>
      </w:pPr>
      <w:r w:rsidRPr="00FC1DF0">
        <w:rPr>
          <w:rFonts w:ascii="Arial" w:hAnsi="Arial" w:cs="Arial"/>
          <w:b/>
          <w:bCs/>
          <w:sz w:val="24"/>
          <w:szCs w:val="24"/>
        </w:rPr>
        <w:t>Purpose</w:t>
      </w:r>
    </w:p>
    <w:p w14:paraId="38A770DF" w14:textId="24037E7D" w:rsidR="00976B95" w:rsidRPr="00FC1DF0" w:rsidRDefault="00976B95" w:rsidP="00BB5C8C">
      <w:pPr>
        <w:pStyle w:val="p1"/>
        <w:ind w:left="0"/>
        <w:rPr>
          <w:sz w:val="24"/>
          <w:szCs w:val="24"/>
        </w:rPr>
      </w:pPr>
      <w:r w:rsidRPr="00FC1DF0">
        <w:rPr>
          <w:sz w:val="24"/>
          <w:szCs w:val="24"/>
        </w:rPr>
        <w:t xml:space="preserve">This document sets out the University’s policy on IT equipment and establishes principles for acquisition, </w:t>
      </w:r>
      <w:r w:rsidR="00BB5C8C">
        <w:rPr>
          <w:sz w:val="24"/>
          <w:szCs w:val="24"/>
        </w:rPr>
        <w:t xml:space="preserve">provision of, </w:t>
      </w:r>
      <w:r w:rsidRPr="00FC1DF0">
        <w:rPr>
          <w:sz w:val="24"/>
          <w:szCs w:val="24"/>
        </w:rPr>
        <w:t>use</w:t>
      </w:r>
      <w:r w:rsidR="00BB5C8C">
        <w:rPr>
          <w:sz w:val="24"/>
          <w:szCs w:val="24"/>
        </w:rPr>
        <w:t xml:space="preserve"> of,</w:t>
      </w:r>
      <w:r w:rsidRPr="00FC1DF0">
        <w:rPr>
          <w:sz w:val="24"/>
          <w:szCs w:val="24"/>
        </w:rPr>
        <w:t xml:space="preserve"> and disposal of IT equipment.</w:t>
      </w:r>
    </w:p>
    <w:p w14:paraId="282C8E64" w14:textId="77777777" w:rsidR="00976B95" w:rsidRPr="00FC1DF0" w:rsidRDefault="00976B95" w:rsidP="00976B95">
      <w:pPr>
        <w:spacing w:line="276" w:lineRule="auto"/>
        <w:ind w:firstLine="720"/>
        <w:rPr>
          <w:rFonts w:ascii="Arial" w:hAnsi="Arial" w:cs="Arial"/>
          <w:sz w:val="24"/>
          <w:szCs w:val="24"/>
        </w:rPr>
      </w:pPr>
    </w:p>
    <w:p w14:paraId="75FF53B9" w14:textId="18894364" w:rsidR="00976B95" w:rsidRPr="00FC1DF0" w:rsidRDefault="00976B95" w:rsidP="00FC1DF0">
      <w:pPr>
        <w:pStyle w:val="Heading1"/>
        <w:rPr>
          <w:rFonts w:ascii="Arial" w:hAnsi="Arial" w:cs="Arial"/>
          <w:sz w:val="24"/>
          <w:szCs w:val="36"/>
        </w:rPr>
      </w:pPr>
      <w:r w:rsidRPr="00FC1DF0">
        <w:rPr>
          <w:rFonts w:ascii="Arial" w:hAnsi="Arial" w:cs="Arial"/>
          <w:sz w:val="24"/>
          <w:szCs w:val="36"/>
        </w:rPr>
        <w:t>Scope</w:t>
      </w:r>
    </w:p>
    <w:p w14:paraId="7A50D3EE" w14:textId="193682B7" w:rsidR="00FC1DF0" w:rsidRDefault="00976B95" w:rsidP="00BB5C8C">
      <w:pPr>
        <w:pStyle w:val="p1"/>
        <w:ind w:left="0"/>
        <w:rPr>
          <w:sz w:val="24"/>
          <w:szCs w:val="24"/>
        </w:rPr>
      </w:pPr>
      <w:r w:rsidRPr="00FC1DF0">
        <w:rPr>
          <w:sz w:val="24"/>
          <w:szCs w:val="24"/>
        </w:rPr>
        <w:t xml:space="preserve">This policy covers all IT equipment purchased by the University for use by staff and students. </w:t>
      </w:r>
      <w:r w:rsidR="00BB5C8C">
        <w:rPr>
          <w:sz w:val="24"/>
          <w:szCs w:val="24"/>
        </w:rPr>
        <w:t>This</w:t>
      </w:r>
      <w:r w:rsidRPr="00FC1DF0">
        <w:rPr>
          <w:sz w:val="24"/>
          <w:szCs w:val="24"/>
        </w:rPr>
        <w:t xml:space="preserve"> includes </w:t>
      </w:r>
      <w:r w:rsidR="00BB5C8C">
        <w:rPr>
          <w:sz w:val="24"/>
          <w:szCs w:val="24"/>
        </w:rPr>
        <w:t xml:space="preserve">all end user equipment (for example: </w:t>
      </w:r>
      <w:r w:rsidRPr="00FC1DF0">
        <w:rPr>
          <w:sz w:val="24"/>
          <w:szCs w:val="24"/>
        </w:rPr>
        <w:t>desktop computers, laptops, tablets and mobile phones</w:t>
      </w:r>
      <w:r w:rsidR="00BB5C8C">
        <w:rPr>
          <w:sz w:val="24"/>
          <w:szCs w:val="24"/>
        </w:rPr>
        <w:t>)</w:t>
      </w:r>
      <w:r w:rsidRPr="00FC1DF0">
        <w:rPr>
          <w:sz w:val="24"/>
          <w:szCs w:val="24"/>
        </w:rPr>
        <w:t xml:space="preserve"> where they are provided by the University. It excludes personally owned IT equipment, and</w:t>
      </w:r>
      <w:r w:rsidR="00BB5C8C">
        <w:rPr>
          <w:sz w:val="24"/>
          <w:szCs w:val="24"/>
        </w:rPr>
        <w:t xml:space="preserve"> underpinning IT infrastructure</w:t>
      </w:r>
    </w:p>
    <w:p w14:paraId="53F9DEC9" w14:textId="77777777" w:rsidR="00FC1DF0" w:rsidRDefault="00FC1DF0" w:rsidP="00FC1DF0">
      <w:pPr>
        <w:pStyle w:val="p1"/>
        <w:rPr>
          <w:sz w:val="24"/>
          <w:szCs w:val="24"/>
        </w:rPr>
      </w:pPr>
    </w:p>
    <w:p w14:paraId="6A9B6163" w14:textId="77777777" w:rsidR="00FC1DF0" w:rsidRDefault="00976B95" w:rsidP="00FC1DF0">
      <w:pPr>
        <w:pStyle w:val="Heading1"/>
        <w:numPr>
          <w:ilvl w:val="0"/>
          <w:numId w:val="1"/>
        </w:numPr>
      </w:pPr>
      <w:r w:rsidRPr="00FC1DF0">
        <w:t>Policy</w:t>
      </w:r>
    </w:p>
    <w:p w14:paraId="5ECCB316" w14:textId="77777777" w:rsidR="00FC1DF0" w:rsidRDefault="00FC1DF0" w:rsidP="00FC1DF0">
      <w:pPr>
        <w:pStyle w:val="p1"/>
      </w:pPr>
    </w:p>
    <w:p w14:paraId="21C1541D" w14:textId="0B30B079" w:rsidR="00BB5C8C" w:rsidRDefault="00976B95" w:rsidP="00BB5C8C">
      <w:pPr>
        <w:pStyle w:val="p1"/>
        <w:numPr>
          <w:ilvl w:val="1"/>
          <w:numId w:val="7"/>
        </w:numPr>
        <w:rPr>
          <w:sz w:val="24"/>
          <w:szCs w:val="24"/>
        </w:rPr>
      </w:pPr>
      <w:r w:rsidRPr="00FC1DF0">
        <w:rPr>
          <w:sz w:val="24"/>
          <w:szCs w:val="24"/>
        </w:rPr>
        <w:t>IT equipment purchased by the University remains the property of the University for its lifetime. Access to IT equipment by staff and students is subject to all relevant policies (including the Acceptable Use Policy)</w:t>
      </w:r>
      <w:r w:rsidR="00BB5C8C">
        <w:rPr>
          <w:sz w:val="24"/>
          <w:szCs w:val="24"/>
        </w:rPr>
        <w:t>.</w:t>
      </w:r>
    </w:p>
    <w:p w14:paraId="7567E509" w14:textId="77777777" w:rsidR="00273328" w:rsidRDefault="00273328" w:rsidP="00273328">
      <w:pPr>
        <w:pStyle w:val="p1"/>
        <w:rPr>
          <w:sz w:val="24"/>
          <w:szCs w:val="24"/>
        </w:rPr>
      </w:pPr>
    </w:p>
    <w:p w14:paraId="05082A3D" w14:textId="77777777" w:rsidR="00C36BF2" w:rsidRDefault="00C36BF2" w:rsidP="00C36BF2">
      <w:pPr>
        <w:pStyle w:val="p1"/>
        <w:numPr>
          <w:ilvl w:val="1"/>
          <w:numId w:val="7"/>
        </w:numPr>
        <w:rPr>
          <w:sz w:val="24"/>
          <w:szCs w:val="24"/>
        </w:rPr>
      </w:pPr>
      <w:r w:rsidRPr="00BB5C8C">
        <w:rPr>
          <w:sz w:val="24"/>
          <w:szCs w:val="24"/>
        </w:rPr>
        <w:t>Students will be provided access to IT equipment in IT labs, open access IT areas and</w:t>
      </w:r>
      <w:r>
        <w:rPr>
          <w:sz w:val="24"/>
          <w:szCs w:val="24"/>
        </w:rPr>
        <w:t xml:space="preserve"> through the provision of</w:t>
      </w:r>
      <w:r w:rsidRPr="00BB5C8C">
        <w:rPr>
          <w:sz w:val="24"/>
          <w:szCs w:val="24"/>
        </w:rPr>
        <w:t xml:space="preserve"> IT loan equipment. </w:t>
      </w:r>
    </w:p>
    <w:p w14:paraId="25491EBC" w14:textId="77777777" w:rsidR="00C36BF2" w:rsidRDefault="00C36BF2" w:rsidP="00C36BF2">
      <w:pPr>
        <w:pStyle w:val="ListParagraph"/>
        <w:rPr>
          <w:sz w:val="24"/>
          <w:szCs w:val="24"/>
        </w:rPr>
      </w:pPr>
    </w:p>
    <w:p w14:paraId="012CCB19" w14:textId="77777777" w:rsidR="00C36BF2" w:rsidRDefault="00C36BF2" w:rsidP="00C36BF2">
      <w:pPr>
        <w:pStyle w:val="p1"/>
        <w:numPr>
          <w:ilvl w:val="1"/>
          <w:numId w:val="7"/>
        </w:numPr>
        <w:rPr>
          <w:sz w:val="24"/>
          <w:szCs w:val="24"/>
        </w:rPr>
      </w:pPr>
      <w:r w:rsidRPr="00BB5C8C">
        <w:rPr>
          <w:sz w:val="24"/>
          <w:szCs w:val="24"/>
        </w:rPr>
        <w:t xml:space="preserve">All staff will be provided with </w:t>
      </w:r>
      <w:r>
        <w:rPr>
          <w:sz w:val="24"/>
          <w:szCs w:val="24"/>
        </w:rPr>
        <w:t>access to an</w:t>
      </w:r>
      <w:r w:rsidRPr="00BB5C8C">
        <w:rPr>
          <w:sz w:val="24"/>
          <w:szCs w:val="24"/>
        </w:rPr>
        <w:t xml:space="preserve"> IT device to carry out their role. </w:t>
      </w:r>
      <w:r>
        <w:rPr>
          <w:sz w:val="24"/>
          <w:szCs w:val="24"/>
        </w:rPr>
        <w:t xml:space="preserve">For </w:t>
      </w:r>
      <w:proofErr w:type="gramStart"/>
      <w:r>
        <w:rPr>
          <w:sz w:val="24"/>
          <w:szCs w:val="24"/>
        </w:rPr>
        <w:t>the majority of</w:t>
      </w:r>
      <w:proofErr w:type="gramEnd"/>
      <w:r>
        <w:rPr>
          <w:sz w:val="24"/>
          <w:szCs w:val="24"/>
        </w:rPr>
        <w:t xml:space="preserve"> employees this will be a dedicated laptop. </w:t>
      </w:r>
    </w:p>
    <w:p w14:paraId="6914C16E" w14:textId="77777777" w:rsidR="00C36BF2" w:rsidRDefault="00C36BF2" w:rsidP="00C36BF2">
      <w:pPr>
        <w:pStyle w:val="ListParagraph"/>
        <w:rPr>
          <w:sz w:val="24"/>
          <w:szCs w:val="24"/>
        </w:rPr>
      </w:pPr>
    </w:p>
    <w:p w14:paraId="45E7CF9E" w14:textId="0D28F3A1" w:rsidR="00C36BF2" w:rsidRDefault="00C36BF2" w:rsidP="00C36BF2">
      <w:pPr>
        <w:pStyle w:val="p1"/>
        <w:numPr>
          <w:ilvl w:val="1"/>
          <w:numId w:val="7"/>
        </w:numPr>
        <w:rPr>
          <w:sz w:val="24"/>
          <w:szCs w:val="24"/>
        </w:rPr>
      </w:pPr>
      <w:r>
        <w:rPr>
          <w:sz w:val="24"/>
          <w:szCs w:val="24"/>
        </w:rPr>
        <w:t>Where exceptions are requested to clauses 2.3 and 2.4 these will be reviewed and enacted by</w:t>
      </w:r>
      <w:r w:rsidRPr="00BB5C8C">
        <w:rPr>
          <w:sz w:val="24"/>
          <w:szCs w:val="24"/>
        </w:rPr>
        <w:t xml:space="preserve"> the Director of IT Services</w:t>
      </w:r>
      <w:r>
        <w:rPr>
          <w:sz w:val="24"/>
          <w:szCs w:val="24"/>
        </w:rPr>
        <w:t xml:space="preserve">, considering the need, manageability of the devices, the costs occurred and any other risks. </w:t>
      </w:r>
    </w:p>
    <w:p w14:paraId="35B4763F" w14:textId="77777777" w:rsidR="00C36BF2" w:rsidRDefault="00C36BF2" w:rsidP="00C36BF2">
      <w:pPr>
        <w:pStyle w:val="ListParagraph"/>
        <w:rPr>
          <w:sz w:val="24"/>
          <w:szCs w:val="24"/>
        </w:rPr>
      </w:pPr>
    </w:p>
    <w:p w14:paraId="53351005" w14:textId="3317398D" w:rsidR="00C36BF2" w:rsidRDefault="00C36BF2" w:rsidP="00C36BF2">
      <w:pPr>
        <w:pStyle w:val="p1"/>
        <w:numPr>
          <w:ilvl w:val="1"/>
          <w:numId w:val="7"/>
        </w:numPr>
        <w:rPr>
          <w:sz w:val="24"/>
          <w:szCs w:val="24"/>
        </w:rPr>
      </w:pPr>
      <w:r>
        <w:rPr>
          <w:sz w:val="24"/>
          <w:szCs w:val="24"/>
        </w:rPr>
        <w:t xml:space="preserve">Mobile phone provision must be requested via IT Services.  Decisions on such requirements are governed by the Director of IT Services. </w:t>
      </w:r>
    </w:p>
    <w:p w14:paraId="68B023D1" w14:textId="77777777" w:rsidR="00A279E6" w:rsidRDefault="00A279E6" w:rsidP="00A279E6">
      <w:pPr>
        <w:pStyle w:val="ListParagraph"/>
        <w:rPr>
          <w:sz w:val="24"/>
          <w:szCs w:val="24"/>
        </w:rPr>
      </w:pPr>
    </w:p>
    <w:p w14:paraId="429BA906" w14:textId="4CB251B5" w:rsidR="00A279E6" w:rsidRPr="00C36BF2" w:rsidRDefault="00A279E6" w:rsidP="00C36BF2">
      <w:pPr>
        <w:pStyle w:val="p1"/>
        <w:numPr>
          <w:ilvl w:val="1"/>
          <w:numId w:val="7"/>
        </w:numPr>
        <w:rPr>
          <w:sz w:val="24"/>
          <w:szCs w:val="24"/>
        </w:rPr>
      </w:pPr>
      <w:r>
        <w:rPr>
          <w:sz w:val="24"/>
          <w:szCs w:val="24"/>
        </w:rPr>
        <w:t>All hardware is issued for the person it is assigned to.  Any swapping of device must be done by informing and reaching agreement with IT Services.</w:t>
      </w:r>
    </w:p>
    <w:p w14:paraId="5BD39E2E" w14:textId="77777777" w:rsidR="00273328" w:rsidRDefault="00273328" w:rsidP="00273328">
      <w:pPr>
        <w:pStyle w:val="p1"/>
        <w:ind w:left="0"/>
        <w:rPr>
          <w:sz w:val="24"/>
          <w:szCs w:val="24"/>
        </w:rPr>
      </w:pPr>
    </w:p>
    <w:p w14:paraId="45C3F4ED" w14:textId="6526B840" w:rsidR="00BB5C8C" w:rsidRDefault="00976B95" w:rsidP="00BB5C8C">
      <w:pPr>
        <w:pStyle w:val="p1"/>
        <w:numPr>
          <w:ilvl w:val="1"/>
          <w:numId w:val="7"/>
        </w:numPr>
        <w:rPr>
          <w:sz w:val="24"/>
          <w:szCs w:val="24"/>
        </w:rPr>
      </w:pPr>
      <w:r w:rsidRPr="00BB5C8C">
        <w:rPr>
          <w:sz w:val="24"/>
          <w:szCs w:val="24"/>
        </w:rPr>
        <w:t>All IT equipment must be purchased</w:t>
      </w:r>
      <w:r w:rsidR="00273328">
        <w:rPr>
          <w:sz w:val="24"/>
          <w:szCs w:val="24"/>
        </w:rPr>
        <w:t xml:space="preserve"> through IT Services</w:t>
      </w:r>
      <w:r w:rsidRPr="00BB5C8C">
        <w:rPr>
          <w:sz w:val="24"/>
          <w:szCs w:val="24"/>
        </w:rPr>
        <w:t xml:space="preserve"> using the University’s approved suppliers</w:t>
      </w:r>
      <w:r w:rsidR="003D1C79" w:rsidRPr="00BB5C8C">
        <w:rPr>
          <w:sz w:val="24"/>
          <w:szCs w:val="24"/>
        </w:rPr>
        <w:t xml:space="preserve"> a</w:t>
      </w:r>
      <w:r w:rsidRPr="00BB5C8C">
        <w:rPr>
          <w:sz w:val="24"/>
          <w:szCs w:val="24"/>
        </w:rPr>
        <w:t>nd follow the University’s procurement policies by staff authorised to do so</w:t>
      </w:r>
      <w:r w:rsidR="003D1C79" w:rsidRPr="00BB5C8C">
        <w:rPr>
          <w:sz w:val="24"/>
          <w:szCs w:val="24"/>
        </w:rPr>
        <w:t xml:space="preserve"> </w:t>
      </w:r>
      <w:r w:rsidRPr="00BB5C8C">
        <w:rPr>
          <w:sz w:val="24"/>
          <w:szCs w:val="24"/>
        </w:rPr>
        <w:t>by the Director of IT</w:t>
      </w:r>
      <w:r w:rsidR="00273328">
        <w:rPr>
          <w:sz w:val="24"/>
          <w:szCs w:val="24"/>
        </w:rPr>
        <w:t xml:space="preserve"> Services. </w:t>
      </w:r>
    </w:p>
    <w:p w14:paraId="13552556" w14:textId="77777777" w:rsidR="00273328" w:rsidRDefault="00273328" w:rsidP="00273328">
      <w:pPr>
        <w:pStyle w:val="p1"/>
        <w:ind w:left="0"/>
        <w:rPr>
          <w:sz w:val="24"/>
          <w:szCs w:val="24"/>
        </w:rPr>
      </w:pPr>
    </w:p>
    <w:p w14:paraId="3EA69E9F" w14:textId="2DF8201F" w:rsidR="00BB5C8C" w:rsidRDefault="00976B95" w:rsidP="00BB5C8C">
      <w:pPr>
        <w:pStyle w:val="p1"/>
        <w:numPr>
          <w:ilvl w:val="1"/>
          <w:numId w:val="7"/>
        </w:numPr>
        <w:rPr>
          <w:sz w:val="24"/>
          <w:szCs w:val="24"/>
        </w:rPr>
      </w:pPr>
      <w:r w:rsidRPr="00273328">
        <w:rPr>
          <w:sz w:val="24"/>
          <w:szCs w:val="24"/>
        </w:rPr>
        <w:t xml:space="preserve">All IT equipment must be centrally managed by the University and </w:t>
      </w:r>
      <w:r w:rsidR="003D1C79" w:rsidRPr="00273328">
        <w:rPr>
          <w:sz w:val="24"/>
          <w:szCs w:val="24"/>
        </w:rPr>
        <w:t xml:space="preserve">comply </w:t>
      </w:r>
      <w:r w:rsidR="00273328">
        <w:rPr>
          <w:sz w:val="24"/>
          <w:szCs w:val="24"/>
        </w:rPr>
        <w:t>f</w:t>
      </w:r>
      <w:r w:rsidRPr="00273328">
        <w:rPr>
          <w:sz w:val="24"/>
          <w:szCs w:val="24"/>
        </w:rPr>
        <w:t xml:space="preserve">ully with the University’s Software and </w:t>
      </w:r>
      <w:r w:rsidR="00273328">
        <w:rPr>
          <w:sz w:val="24"/>
          <w:szCs w:val="24"/>
        </w:rPr>
        <w:t xml:space="preserve">Cyber </w:t>
      </w:r>
      <w:r w:rsidRPr="00273328">
        <w:rPr>
          <w:sz w:val="24"/>
          <w:szCs w:val="24"/>
        </w:rPr>
        <w:t>Security Policies.</w:t>
      </w:r>
    </w:p>
    <w:p w14:paraId="2E72543E" w14:textId="77777777" w:rsidR="00273328" w:rsidRPr="00273328" w:rsidRDefault="00273328" w:rsidP="00273328">
      <w:pPr>
        <w:pStyle w:val="p1"/>
        <w:ind w:left="0"/>
        <w:rPr>
          <w:sz w:val="24"/>
          <w:szCs w:val="24"/>
        </w:rPr>
      </w:pPr>
    </w:p>
    <w:p w14:paraId="421E734D" w14:textId="6CBAE391" w:rsidR="00BB5C8C" w:rsidRDefault="00976B95" w:rsidP="00BB5C8C">
      <w:pPr>
        <w:pStyle w:val="p1"/>
        <w:numPr>
          <w:ilvl w:val="1"/>
          <w:numId w:val="7"/>
        </w:numPr>
        <w:rPr>
          <w:sz w:val="24"/>
          <w:szCs w:val="24"/>
        </w:rPr>
      </w:pPr>
      <w:r w:rsidRPr="00BB5C8C">
        <w:rPr>
          <w:sz w:val="24"/>
          <w:szCs w:val="24"/>
        </w:rPr>
        <w:t>The University will review</w:t>
      </w:r>
      <w:r w:rsidR="00C36BF2">
        <w:rPr>
          <w:sz w:val="24"/>
          <w:szCs w:val="24"/>
        </w:rPr>
        <w:t xml:space="preserve"> the condition of</w:t>
      </w:r>
      <w:r w:rsidRPr="00BB5C8C">
        <w:rPr>
          <w:sz w:val="24"/>
          <w:szCs w:val="24"/>
        </w:rPr>
        <w:t xml:space="preserve"> IT equipment on a regular basis to ensure it</w:t>
      </w:r>
      <w:r w:rsidR="003D1C79" w:rsidRPr="00BB5C8C">
        <w:rPr>
          <w:sz w:val="24"/>
          <w:szCs w:val="24"/>
        </w:rPr>
        <w:t xml:space="preserve"> r</w:t>
      </w:r>
      <w:r w:rsidRPr="00BB5C8C">
        <w:rPr>
          <w:sz w:val="24"/>
          <w:szCs w:val="24"/>
        </w:rPr>
        <w:t>emains fit for purpose, achieves maximum value for money and continues to</w:t>
      </w:r>
      <w:r w:rsidR="003D1C79" w:rsidRPr="00BB5C8C">
        <w:rPr>
          <w:sz w:val="24"/>
          <w:szCs w:val="24"/>
        </w:rPr>
        <w:t xml:space="preserve"> </w:t>
      </w:r>
      <w:r w:rsidRPr="00BB5C8C">
        <w:rPr>
          <w:sz w:val="24"/>
          <w:szCs w:val="24"/>
        </w:rPr>
        <w:t>meet the University’s performance requirements.</w:t>
      </w:r>
      <w:r w:rsidR="00C36BF2">
        <w:rPr>
          <w:sz w:val="24"/>
          <w:szCs w:val="24"/>
        </w:rPr>
        <w:t xml:space="preserve">  Replacement of devices will be based on this review. </w:t>
      </w:r>
    </w:p>
    <w:p w14:paraId="717476A9" w14:textId="77777777" w:rsidR="00A279E6" w:rsidRDefault="00A279E6" w:rsidP="00A279E6">
      <w:pPr>
        <w:pStyle w:val="p1"/>
        <w:ind w:left="0"/>
        <w:rPr>
          <w:sz w:val="24"/>
          <w:szCs w:val="24"/>
        </w:rPr>
      </w:pPr>
    </w:p>
    <w:p w14:paraId="0463065D" w14:textId="77777777" w:rsidR="00BB5C8C" w:rsidRDefault="00976B95" w:rsidP="00BB5C8C">
      <w:pPr>
        <w:pStyle w:val="p1"/>
        <w:numPr>
          <w:ilvl w:val="1"/>
          <w:numId w:val="7"/>
        </w:numPr>
        <w:rPr>
          <w:sz w:val="24"/>
          <w:szCs w:val="24"/>
        </w:rPr>
      </w:pPr>
      <w:r w:rsidRPr="00BB5C8C">
        <w:rPr>
          <w:sz w:val="24"/>
          <w:szCs w:val="24"/>
        </w:rPr>
        <w:t>Where IT equipment is shared access such as in IT labs and general access</w:t>
      </w:r>
      <w:r w:rsidR="003D1C79" w:rsidRPr="00BB5C8C">
        <w:rPr>
          <w:sz w:val="24"/>
          <w:szCs w:val="24"/>
        </w:rPr>
        <w:t xml:space="preserve"> </w:t>
      </w:r>
      <w:r w:rsidRPr="00BB5C8C">
        <w:rPr>
          <w:sz w:val="24"/>
          <w:szCs w:val="24"/>
        </w:rPr>
        <w:t>areas it must be physically secured to prevent theft. Where staff are using</w:t>
      </w:r>
      <w:r w:rsidR="003D1C79" w:rsidRPr="00BB5C8C">
        <w:rPr>
          <w:sz w:val="24"/>
          <w:szCs w:val="24"/>
        </w:rPr>
        <w:t xml:space="preserve"> </w:t>
      </w:r>
      <w:r w:rsidRPr="00BB5C8C">
        <w:rPr>
          <w:sz w:val="24"/>
          <w:szCs w:val="24"/>
        </w:rPr>
        <w:t>personal IT equipment, they must always ensure its physical security.</w:t>
      </w:r>
    </w:p>
    <w:p w14:paraId="4131A60A" w14:textId="77777777" w:rsidR="00C36BF2" w:rsidRDefault="00C36BF2" w:rsidP="00C36BF2">
      <w:pPr>
        <w:pStyle w:val="p1"/>
        <w:rPr>
          <w:sz w:val="24"/>
          <w:szCs w:val="24"/>
        </w:rPr>
      </w:pPr>
    </w:p>
    <w:p w14:paraId="51E9AB6F" w14:textId="1EE7796F" w:rsidR="00C36BF2" w:rsidRDefault="00C36BF2" w:rsidP="00BB5C8C">
      <w:pPr>
        <w:pStyle w:val="p1"/>
        <w:numPr>
          <w:ilvl w:val="1"/>
          <w:numId w:val="7"/>
        </w:numPr>
        <w:rPr>
          <w:sz w:val="24"/>
          <w:szCs w:val="24"/>
        </w:rPr>
      </w:pPr>
      <w:r>
        <w:rPr>
          <w:sz w:val="24"/>
          <w:szCs w:val="24"/>
        </w:rPr>
        <w:t>You must not damage any IT equipment, and any damage discovered should be reported to IT Services immediately.</w:t>
      </w:r>
    </w:p>
    <w:p w14:paraId="6F4C3862" w14:textId="77777777" w:rsidR="00273328" w:rsidRDefault="00273328" w:rsidP="00273328">
      <w:pPr>
        <w:pStyle w:val="p1"/>
        <w:rPr>
          <w:sz w:val="24"/>
          <w:szCs w:val="24"/>
        </w:rPr>
      </w:pPr>
    </w:p>
    <w:p w14:paraId="5631F7F6" w14:textId="77777777" w:rsidR="00BB5C8C" w:rsidRDefault="00976B95" w:rsidP="00BB5C8C">
      <w:pPr>
        <w:pStyle w:val="p1"/>
        <w:numPr>
          <w:ilvl w:val="1"/>
          <w:numId w:val="7"/>
        </w:numPr>
        <w:rPr>
          <w:sz w:val="24"/>
          <w:szCs w:val="24"/>
        </w:rPr>
      </w:pPr>
      <w:r w:rsidRPr="00BB5C8C">
        <w:rPr>
          <w:sz w:val="24"/>
          <w:szCs w:val="24"/>
        </w:rPr>
        <w:t>IT equipment must not be retained by (or sold to) staff or students should they</w:t>
      </w:r>
      <w:r w:rsidR="003D1C79" w:rsidRPr="00BB5C8C">
        <w:rPr>
          <w:sz w:val="24"/>
          <w:szCs w:val="24"/>
        </w:rPr>
        <w:t xml:space="preserve"> </w:t>
      </w:r>
      <w:r w:rsidRPr="00BB5C8C">
        <w:rPr>
          <w:sz w:val="24"/>
          <w:szCs w:val="24"/>
        </w:rPr>
        <w:t>leave the University or if the device reaches end-of-life. This is for reasons of</w:t>
      </w:r>
      <w:r w:rsidR="003D1C79" w:rsidRPr="00BB5C8C">
        <w:rPr>
          <w:sz w:val="24"/>
          <w:szCs w:val="24"/>
        </w:rPr>
        <w:t xml:space="preserve"> </w:t>
      </w:r>
      <w:r w:rsidRPr="00BB5C8C">
        <w:rPr>
          <w:sz w:val="24"/>
          <w:szCs w:val="24"/>
        </w:rPr>
        <w:t>information security, software licence compliance and compliance with</w:t>
      </w:r>
      <w:r w:rsidR="003D1C79" w:rsidRPr="00BB5C8C">
        <w:rPr>
          <w:sz w:val="24"/>
          <w:szCs w:val="24"/>
        </w:rPr>
        <w:t xml:space="preserve"> </w:t>
      </w:r>
      <w:r w:rsidRPr="00BB5C8C">
        <w:rPr>
          <w:sz w:val="24"/>
          <w:szCs w:val="24"/>
        </w:rPr>
        <w:t>regulations on the disposal of electronic equipment.</w:t>
      </w:r>
    </w:p>
    <w:p w14:paraId="012A9297" w14:textId="77777777" w:rsidR="00273328" w:rsidRDefault="00273328" w:rsidP="00273328">
      <w:pPr>
        <w:pStyle w:val="p1"/>
        <w:ind w:left="0"/>
        <w:rPr>
          <w:sz w:val="24"/>
          <w:szCs w:val="24"/>
        </w:rPr>
      </w:pPr>
    </w:p>
    <w:p w14:paraId="59DF2B97" w14:textId="77777777" w:rsidR="00BB5C8C" w:rsidRDefault="00976B95" w:rsidP="00BB5C8C">
      <w:pPr>
        <w:pStyle w:val="p1"/>
        <w:numPr>
          <w:ilvl w:val="1"/>
          <w:numId w:val="7"/>
        </w:numPr>
        <w:rPr>
          <w:sz w:val="24"/>
          <w:szCs w:val="24"/>
        </w:rPr>
      </w:pPr>
      <w:r w:rsidRPr="00BB5C8C">
        <w:rPr>
          <w:sz w:val="24"/>
          <w:szCs w:val="24"/>
        </w:rPr>
        <w:t>All IT equipment must be disposed of in accordance with the EU Waste</w:t>
      </w:r>
      <w:r w:rsidR="003D1C79" w:rsidRPr="00BB5C8C">
        <w:rPr>
          <w:sz w:val="24"/>
          <w:szCs w:val="24"/>
        </w:rPr>
        <w:t xml:space="preserve"> </w:t>
      </w:r>
      <w:r w:rsidRPr="00BB5C8C">
        <w:rPr>
          <w:sz w:val="24"/>
          <w:szCs w:val="24"/>
        </w:rPr>
        <w:t>Electrical and Electronic Equipment Directive (WEEE) regulations using the</w:t>
      </w:r>
      <w:r w:rsidR="003D1C79" w:rsidRPr="00BB5C8C">
        <w:rPr>
          <w:sz w:val="24"/>
          <w:szCs w:val="24"/>
        </w:rPr>
        <w:t xml:space="preserve"> </w:t>
      </w:r>
      <w:r w:rsidRPr="00BB5C8C">
        <w:rPr>
          <w:sz w:val="24"/>
          <w:szCs w:val="24"/>
        </w:rPr>
        <w:t>University's approved contractors. This activity will be managed by the</w:t>
      </w:r>
      <w:r w:rsidR="003D1C79" w:rsidRPr="00BB5C8C">
        <w:rPr>
          <w:sz w:val="24"/>
          <w:szCs w:val="24"/>
        </w:rPr>
        <w:t xml:space="preserve"> </w:t>
      </w:r>
      <w:r w:rsidRPr="00BB5C8C">
        <w:rPr>
          <w:sz w:val="24"/>
          <w:szCs w:val="24"/>
        </w:rPr>
        <w:t>Director of ITS</w:t>
      </w:r>
      <w:r w:rsidR="003D1C79" w:rsidRPr="00BB5C8C">
        <w:rPr>
          <w:sz w:val="24"/>
          <w:szCs w:val="24"/>
        </w:rPr>
        <w:t>.</w:t>
      </w:r>
    </w:p>
    <w:p w14:paraId="7274A7CD" w14:textId="77777777" w:rsidR="00273328" w:rsidRDefault="00273328" w:rsidP="00273328">
      <w:pPr>
        <w:pStyle w:val="p1"/>
        <w:ind w:left="0"/>
        <w:rPr>
          <w:sz w:val="24"/>
          <w:szCs w:val="24"/>
        </w:rPr>
      </w:pPr>
    </w:p>
    <w:p w14:paraId="1B53A2E1" w14:textId="0B5EBC37" w:rsidR="00BB5C8C" w:rsidRDefault="003D1C79" w:rsidP="00BB5C8C">
      <w:pPr>
        <w:pStyle w:val="p1"/>
        <w:numPr>
          <w:ilvl w:val="1"/>
          <w:numId w:val="7"/>
        </w:numPr>
        <w:rPr>
          <w:sz w:val="24"/>
          <w:szCs w:val="24"/>
        </w:rPr>
      </w:pPr>
      <w:r w:rsidRPr="00BB5C8C">
        <w:rPr>
          <w:sz w:val="24"/>
          <w:szCs w:val="24"/>
        </w:rPr>
        <w:t xml:space="preserve">All IT equipment must have all University data removed before it is disposed of, and where this is performed by a third-party, certificates of destruction must be provided by the third-party and retained by the University. This activity will be managed by the </w:t>
      </w:r>
      <w:r w:rsidR="00273328">
        <w:rPr>
          <w:sz w:val="24"/>
          <w:szCs w:val="24"/>
        </w:rPr>
        <w:t>Head of Service Management on behalf of the Director of IT Services</w:t>
      </w:r>
      <w:r w:rsidRPr="00BB5C8C">
        <w:rPr>
          <w:sz w:val="24"/>
          <w:szCs w:val="24"/>
        </w:rPr>
        <w:t>.</w:t>
      </w:r>
    </w:p>
    <w:p w14:paraId="3154102B" w14:textId="77777777" w:rsidR="00273328" w:rsidRDefault="00273328" w:rsidP="00273328">
      <w:pPr>
        <w:pStyle w:val="p1"/>
        <w:ind w:left="0"/>
        <w:rPr>
          <w:sz w:val="24"/>
          <w:szCs w:val="24"/>
        </w:rPr>
      </w:pPr>
    </w:p>
    <w:p w14:paraId="157790AB" w14:textId="77777777" w:rsidR="00C36BF2" w:rsidRDefault="003D1C79" w:rsidP="003D1C79">
      <w:pPr>
        <w:pStyle w:val="p1"/>
        <w:numPr>
          <w:ilvl w:val="1"/>
          <w:numId w:val="7"/>
        </w:numPr>
        <w:rPr>
          <w:sz w:val="24"/>
          <w:szCs w:val="24"/>
        </w:rPr>
      </w:pPr>
      <w:r w:rsidRPr="00BB5C8C">
        <w:rPr>
          <w:sz w:val="24"/>
          <w:szCs w:val="24"/>
        </w:rPr>
        <w:t>Access to IT equipment will be given using the principle of least privilege first, whereby staff, students and administrators will be authorised to access only the resources they need to perform the activities of their role.</w:t>
      </w:r>
      <w:r w:rsidR="00273328">
        <w:rPr>
          <w:sz w:val="24"/>
          <w:szCs w:val="24"/>
        </w:rPr>
        <w:t xml:space="preserve">  Ownership and use of devices will be monitored </w:t>
      </w:r>
      <w:r w:rsidR="00C36BF2">
        <w:rPr>
          <w:sz w:val="24"/>
          <w:szCs w:val="24"/>
        </w:rPr>
        <w:t xml:space="preserve">to ensure cyber security and licence compliance responsibilities. </w:t>
      </w:r>
    </w:p>
    <w:p w14:paraId="26F5B91A" w14:textId="77777777" w:rsidR="00C36BF2" w:rsidRDefault="00C36BF2" w:rsidP="00C36BF2">
      <w:pPr>
        <w:pStyle w:val="ListParagraph"/>
      </w:pPr>
    </w:p>
    <w:p w14:paraId="26994C2E" w14:textId="3835773C" w:rsidR="00C36BF2" w:rsidRPr="00C36BF2" w:rsidRDefault="00C36BF2" w:rsidP="00C36BF2">
      <w:pPr>
        <w:pStyle w:val="p1"/>
        <w:numPr>
          <w:ilvl w:val="1"/>
          <w:numId w:val="7"/>
        </w:numPr>
        <w:rPr>
          <w:sz w:val="24"/>
          <w:szCs w:val="24"/>
        </w:rPr>
      </w:pPr>
      <w:r>
        <w:rPr>
          <w:sz w:val="24"/>
          <w:szCs w:val="24"/>
        </w:rPr>
        <w:t xml:space="preserve">In line with governance best practice the University </w:t>
      </w:r>
      <w:r w:rsidRPr="00C36BF2">
        <w:rPr>
          <w:sz w:val="24"/>
          <w:szCs w:val="24"/>
        </w:rPr>
        <w:t xml:space="preserve">will </w:t>
      </w:r>
      <w:r>
        <w:rPr>
          <w:sz w:val="24"/>
          <w:szCs w:val="24"/>
        </w:rPr>
        <w:t xml:space="preserve">employ compliance </w:t>
      </w:r>
      <w:r w:rsidRPr="00C36BF2">
        <w:rPr>
          <w:sz w:val="24"/>
          <w:szCs w:val="24"/>
        </w:rPr>
        <w:t>monitor</w:t>
      </w:r>
      <w:r>
        <w:rPr>
          <w:sz w:val="24"/>
          <w:szCs w:val="24"/>
        </w:rPr>
        <w:t>ing for</w:t>
      </w:r>
      <w:r w:rsidRPr="00C36BF2">
        <w:rPr>
          <w:sz w:val="24"/>
          <w:szCs w:val="24"/>
        </w:rPr>
        <w:t xml:space="preserve"> its assets </w:t>
      </w:r>
      <w:r>
        <w:rPr>
          <w:sz w:val="24"/>
          <w:szCs w:val="24"/>
        </w:rPr>
        <w:t xml:space="preserve">to ensure that </w:t>
      </w:r>
      <w:r w:rsidRPr="00C36BF2">
        <w:rPr>
          <w:sz w:val="24"/>
          <w:szCs w:val="24"/>
        </w:rPr>
        <w:t>local firewall, disk encryption and anti-malware client software</w:t>
      </w:r>
      <w:r>
        <w:rPr>
          <w:sz w:val="24"/>
          <w:szCs w:val="24"/>
        </w:rPr>
        <w:t xml:space="preserve"> is</w:t>
      </w:r>
      <w:r w:rsidRPr="00C36BF2">
        <w:rPr>
          <w:sz w:val="24"/>
          <w:szCs w:val="24"/>
        </w:rPr>
        <w:t xml:space="preserve"> operating and protecting the host</w:t>
      </w:r>
      <w:r>
        <w:rPr>
          <w:sz w:val="24"/>
          <w:szCs w:val="24"/>
        </w:rPr>
        <w:t>.  These services will be enabled centrally.</w:t>
      </w:r>
    </w:p>
    <w:p w14:paraId="74F52EB5" w14:textId="77777777" w:rsidR="00C36BF2" w:rsidRDefault="00C36BF2" w:rsidP="00C36BF2">
      <w:pPr>
        <w:pStyle w:val="ListParagraph"/>
        <w:rPr>
          <w:sz w:val="24"/>
          <w:szCs w:val="24"/>
        </w:rPr>
      </w:pPr>
    </w:p>
    <w:p w14:paraId="4D8B52D2" w14:textId="24D79CEF" w:rsidR="00C36BF2" w:rsidRPr="00C36BF2" w:rsidRDefault="00C36BF2" w:rsidP="00C36BF2">
      <w:pPr>
        <w:pStyle w:val="p1"/>
        <w:numPr>
          <w:ilvl w:val="1"/>
          <w:numId w:val="7"/>
        </w:numPr>
        <w:rPr>
          <w:sz w:val="24"/>
          <w:szCs w:val="24"/>
        </w:rPr>
      </w:pPr>
      <w:r>
        <w:rPr>
          <w:sz w:val="24"/>
          <w:szCs w:val="24"/>
        </w:rPr>
        <w:t xml:space="preserve">Where breaches of policy lead to the proposed withdrawal equipment, the case should be escalated to the Director of IT Services who will consult with the Director of Human Resources and Dean or Director of the person affected. </w:t>
      </w:r>
    </w:p>
    <w:p w14:paraId="34FB4116" w14:textId="4967A613" w:rsidR="003D1C79" w:rsidRPr="00FC1DF0" w:rsidRDefault="003D1C79" w:rsidP="003D1C79">
      <w:pPr>
        <w:pStyle w:val="Heading1"/>
        <w:numPr>
          <w:ilvl w:val="0"/>
          <w:numId w:val="1"/>
        </w:numPr>
        <w:rPr>
          <w:rFonts w:ascii="Arial" w:eastAsia="Times New Roman" w:hAnsi="Arial" w:cs="Arial"/>
          <w:lang w:val="en-GB" w:eastAsia="en-GB" w:bidi="ar-SA"/>
        </w:rPr>
      </w:pPr>
      <w:r w:rsidRPr="00FC1DF0">
        <w:rPr>
          <w:rFonts w:ascii="Arial" w:eastAsia="Times New Roman" w:hAnsi="Arial" w:cs="Arial"/>
          <w:lang w:val="en-GB" w:eastAsia="en-GB" w:bidi="ar-SA"/>
        </w:rPr>
        <w:t>Procedures</w:t>
      </w:r>
    </w:p>
    <w:p w14:paraId="3D86F127" w14:textId="77777777" w:rsidR="003D1C79" w:rsidRPr="00FC1DF0" w:rsidRDefault="003D1C79" w:rsidP="003D1C79">
      <w:pPr>
        <w:widowControl/>
        <w:autoSpaceDE/>
        <w:autoSpaceDN/>
        <w:rPr>
          <w:rFonts w:ascii="Arial" w:eastAsia="Times New Roman" w:hAnsi="Arial" w:cs="Arial"/>
          <w:color w:val="000000"/>
          <w:sz w:val="24"/>
          <w:szCs w:val="24"/>
          <w:lang w:val="en-GB" w:eastAsia="en-GB" w:bidi="ar-SA"/>
        </w:rPr>
      </w:pPr>
    </w:p>
    <w:p w14:paraId="2ECA3136" w14:textId="77777777" w:rsidR="00BC1753" w:rsidRDefault="00BC1753" w:rsidP="003D1C79">
      <w:pPr>
        <w:widowControl/>
        <w:autoSpaceDE/>
        <w:autoSpaceDN/>
        <w:rPr>
          <w:rFonts w:ascii="Arial" w:eastAsia="Times New Roman" w:hAnsi="Arial" w:cs="Arial"/>
          <w:color w:val="000000"/>
          <w:sz w:val="24"/>
          <w:szCs w:val="24"/>
          <w:lang w:val="en-GB" w:eastAsia="en-GB" w:bidi="ar-SA"/>
        </w:rPr>
      </w:pPr>
      <w:r>
        <w:rPr>
          <w:rFonts w:ascii="Arial" w:eastAsia="Times New Roman" w:hAnsi="Arial" w:cs="Arial"/>
          <w:color w:val="000000"/>
          <w:sz w:val="24"/>
          <w:szCs w:val="24"/>
          <w:lang w:val="en-GB" w:eastAsia="en-GB" w:bidi="ar-SA"/>
        </w:rPr>
        <w:t xml:space="preserve">Processes for requesting devices for new members of staff, for requesting replacements to devices and for the return of equipment when a member of staff leaves the University are detailed within Formal Guidance documents. </w:t>
      </w:r>
    </w:p>
    <w:p w14:paraId="466C5157" w14:textId="1DDF0486" w:rsidR="003D1C79" w:rsidRPr="00FC1DF0" w:rsidRDefault="003D1C79" w:rsidP="00BC1753">
      <w:pPr>
        <w:pStyle w:val="p1"/>
        <w:ind w:left="0"/>
      </w:pPr>
    </w:p>
    <w:p w14:paraId="70D4B0BB" w14:textId="77777777" w:rsidR="00FC1DF0" w:rsidRPr="00FC1DF0" w:rsidRDefault="00FC1DF0" w:rsidP="00FC1DF0">
      <w:pPr>
        <w:pStyle w:val="Heading1"/>
        <w:numPr>
          <w:ilvl w:val="0"/>
          <w:numId w:val="1"/>
        </w:numPr>
        <w:rPr>
          <w:rFonts w:ascii="Arial" w:hAnsi="Arial" w:cs="Arial"/>
        </w:rPr>
      </w:pPr>
      <w:r w:rsidRPr="00FC1DF0">
        <w:rPr>
          <w:rFonts w:ascii="Arial" w:hAnsi="Arial" w:cs="Arial"/>
        </w:rPr>
        <w:lastRenderedPageBreak/>
        <w:t>Formal Guidance</w:t>
      </w:r>
    </w:p>
    <w:p w14:paraId="2A8CF58A" w14:textId="77777777" w:rsidR="00FC1DF0" w:rsidRPr="00FC1DF0" w:rsidRDefault="00FC1DF0" w:rsidP="00FC1DF0">
      <w:pPr>
        <w:rPr>
          <w:rFonts w:ascii="Arial" w:hAnsi="Arial" w:cs="Arial"/>
        </w:rPr>
      </w:pPr>
    </w:p>
    <w:p w14:paraId="7CB46F7E" w14:textId="77777777" w:rsidR="00FC1DF0" w:rsidRPr="00FC1DF0" w:rsidRDefault="00FC1DF0" w:rsidP="00FC1DF0">
      <w:pPr>
        <w:rPr>
          <w:rFonts w:ascii="Arial" w:hAnsi="Arial" w:cs="Arial"/>
          <w:sz w:val="24"/>
          <w:szCs w:val="24"/>
        </w:rPr>
      </w:pPr>
      <w:r w:rsidRPr="00FC1DF0">
        <w:rPr>
          <w:rFonts w:ascii="Arial" w:hAnsi="Arial" w:cs="Arial"/>
          <w:sz w:val="24"/>
          <w:szCs w:val="24"/>
        </w:rPr>
        <w:t>IT Services apply this policy in day-to-day operation using supporting Formal Guidance documents. This document suite is not detailed within the Information Management Policy Framework due to the level of detail and the need for ongoing management.  These documents are provided on the Staff and Student Zones and can be made available to staff and students on request.</w:t>
      </w:r>
    </w:p>
    <w:p w14:paraId="3126361A" w14:textId="77777777" w:rsidR="00FC1DF0" w:rsidRPr="00FC1DF0" w:rsidRDefault="00FC1DF0" w:rsidP="00FC1DF0">
      <w:pPr>
        <w:rPr>
          <w:rFonts w:ascii="Arial" w:hAnsi="Arial" w:cs="Arial"/>
        </w:rPr>
      </w:pPr>
    </w:p>
    <w:p w14:paraId="21F64A8E" w14:textId="77777777" w:rsidR="00FC1DF0" w:rsidRPr="00FC1DF0" w:rsidRDefault="00FC1DF0" w:rsidP="00FC1DF0">
      <w:pPr>
        <w:pStyle w:val="Heading1"/>
        <w:numPr>
          <w:ilvl w:val="0"/>
          <w:numId w:val="1"/>
        </w:numPr>
        <w:rPr>
          <w:rFonts w:ascii="Arial" w:hAnsi="Arial" w:cs="Arial"/>
        </w:rPr>
      </w:pPr>
      <w:r w:rsidRPr="00FC1DF0">
        <w:rPr>
          <w:rFonts w:ascii="Arial" w:hAnsi="Arial" w:cs="Arial"/>
        </w:rPr>
        <w:t>Freedom of Speech and Academic Freedom</w:t>
      </w:r>
    </w:p>
    <w:p w14:paraId="0096EB87" w14:textId="77777777" w:rsidR="00FC1DF0" w:rsidRPr="00FC1DF0" w:rsidRDefault="00FC1DF0" w:rsidP="00FC1DF0">
      <w:pPr>
        <w:rPr>
          <w:rFonts w:ascii="Arial" w:hAnsi="Arial" w:cs="Arial"/>
        </w:rPr>
      </w:pPr>
    </w:p>
    <w:p w14:paraId="38D64786" w14:textId="4A0DA559" w:rsidR="00FC1DF0" w:rsidRPr="00FC1DF0" w:rsidRDefault="00FC1DF0" w:rsidP="00FC1DF0">
      <w:pPr>
        <w:rPr>
          <w:rFonts w:ascii="Arial" w:hAnsi="Arial" w:cs="Arial"/>
          <w:color w:val="000000"/>
          <w:sz w:val="24"/>
          <w:szCs w:val="24"/>
        </w:rPr>
      </w:pPr>
      <w:r w:rsidRPr="00FC1DF0">
        <w:rPr>
          <w:rFonts w:ascii="Arial" w:hAnsi="Arial" w:cs="Arial"/>
          <w:color w:val="000000"/>
          <w:sz w:val="24"/>
          <w:szCs w:val="24"/>
        </w:rPr>
        <w:t>London Metropolitan University recognizes the paramount importance of Freedom of Speech and Academic Freedom. The University acknowledges their vital role in fostering a culture of vigorous and open debate within the law while being mindful of the University’s values as stated in its</w:t>
      </w:r>
      <w:r w:rsidRPr="00FC1DF0">
        <w:rPr>
          <w:rStyle w:val="apple-converted-space"/>
          <w:rFonts w:ascii="Arial" w:hAnsi="Arial" w:cs="Arial"/>
          <w:color w:val="000000"/>
          <w:sz w:val="24"/>
          <w:szCs w:val="24"/>
        </w:rPr>
        <w:t> </w:t>
      </w:r>
      <w:hyperlink r:id="rId7" w:tooltip="https://www.londonmet.ac.uk/about/our-university/university-publications/strategy-201920--202425/" w:history="1">
        <w:r w:rsidRPr="00FC1DF0">
          <w:rPr>
            <w:rStyle w:val="Hyperlink"/>
            <w:rFonts w:ascii="Arial" w:hAnsi="Arial" w:cs="Arial"/>
            <w:sz w:val="24"/>
            <w:szCs w:val="24"/>
          </w:rPr>
          <w:t>Strategy</w:t>
        </w:r>
      </w:hyperlink>
      <w:r w:rsidRPr="00FC1DF0">
        <w:rPr>
          <w:rFonts w:ascii="Arial" w:hAnsi="Arial" w:cs="Arial"/>
          <w:color w:val="000000"/>
          <w:sz w:val="24"/>
          <w:szCs w:val="24"/>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w:t>
      </w:r>
      <w:r w:rsidRPr="00FC1DF0">
        <w:rPr>
          <w:rStyle w:val="apple-converted-space"/>
          <w:rFonts w:ascii="Arial" w:hAnsi="Arial" w:cs="Arial"/>
          <w:color w:val="000000"/>
          <w:sz w:val="24"/>
          <w:szCs w:val="24"/>
        </w:rPr>
        <w:t> </w:t>
      </w:r>
      <w:hyperlink r:id="rId8" w:tooltip="https://www.londonmet.ac.uk/about/policies/freedom-of-speech/" w:history="1">
        <w:r w:rsidRPr="00FC1DF0">
          <w:rPr>
            <w:rStyle w:val="Hyperlink"/>
            <w:rFonts w:ascii="Arial" w:hAnsi="Arial" w:cs="Arial"/>
            <w:sz w:val="24"/>
            <w:szCs w:val="24"/>
          </w:rPr>
          <w:t>Freedom of Speech Code of Practice</w:t>
        </w:r>
      </w:hyperlink>
      <w:r w:rsidRPr="00FC1DF0">
        <w:rPr>
          <w:rFonts w:ascii="Arial" w:hAnsi="Arial" w:cs="Arial"/>
          <w:color w:val="000000"/>
          <w:sz w:val="24"/>
          <w:szCs w:val="24"/>
        </w:rPr>
        <w:t> provides further guidance on upholding these principles. In the event of a conflict between the contents of this policy and the Freedom of Speech Code of Practice, the provisions of the Freedom of Speech Code of Practice will prevail.</w:t>
      </w:r>
    </w:p>
    <w:p w14:paraId="0F82C357" w14:textId="77777777" w:rsidR="00FC1DF0" w:rsidRPr="00FC1DF0" w:rsidRDefault="00FC1DF0" w:rsidP="00FC1DF0">
      <w:pPr>
        <w:rPr>
          <w:rFonts w:ascii="Arial" w:hAnsi="Arial" w:cs="Arial"/>
          <w:color w:val="000000"/>
        </w:rPr>
      </w:pPr>
    </w:p>
    <w:p w14:paraId="2B77B6DA" w14:textId="77777777" w:rsidR="00F62F8B" w:rsidRPr="00F62F8B" w:rsidRDefault="00F62F8B" w:rsidP="00F62F8B">
      <w:pPr>
        <w:pStyle w:val="Heading1"/>
        <w:numPr>
          <w:ilvl w:val="0"/>
          <w:numId w:val="1"/>
        </w:numPr>
        <w:rPr>
          <w:rFonts w:ascii="Arial" w:hAnsi="Arial" w:cs="Arial"/>
          <w:color w:val="000000"/>
          <w:sz w:val="24"/>
          <w:szCs w:val="24"/>
        </w:rPr>
      </w:pPr>
      <w:r w:rsidRPr="00F62F8B">
        <w:rPr>
          <w:rFonts w:ascii="Arial" w:hAnsi="Arial" w:cs="Arial"/>
        </w:rPr>
        <w:t>Breach of Policy</w:t>
      </w:r>
    </w:p>
    <w:p w14:paraId="2AAE96BF" w14:textId="77777777" w:rsidR="00F62F8B" w:rsidRPr="0004342D" w:rsidRDefault="00F62F8B" w:rsidP="00F62F8B">
      <w:pPr>
        <w:pStyle w:val="ListParagraph"/>
        <w:tabs>
          <w:tab w:val="left" w:pos="508"/>
        </w:tabs>
        <w:ind w:left="360"/>
        <w:rPr>
          <w:sz w:val="20"/>
        </w:rPr>
      </w:pPr>
    </w:p>
    <w:p w14:paraId="06D9F728" w14:textId="77777777" w:rsidR="00F62F8B" w:rsidRPr="009414FF" w:rsidRDefault="00F62F8B" w:rsidP="00F62F8B">
      <w:pPr>
        <w:rPr>
          <w:rFonts w:ascii="Arial" w:hAnsi="Arial" w:cs="Arial"/>
          <w:sz w:val="24"/>
          <w:szCs w:val="24"/>
        </w:rPr>
      </w:pPr>
      <w:r w:rsidRPr="009414FF">
        <w:rPr>
          <w:rFonts w:ascii="Arial" w:hAnsi="Arial" w:cs="Arial"/>
          <w:sz w:val="24"/>
          <w:szCs w:val="24"/>
        </w:rPr>
        <w:t>Infringing these regulations may result in sanctions under</w:t>
      </w:r>
      <w:r w:rsidRPr="009414FF">
        <w:rPr>
          <w:rFonts w:ascii="Arial" w:hAnsi="Arial" w:cs="Arial"/>
          <w:spacing w:val="-5"/>
          <w:sz w:val="24"/>
          <w:szCs w:val="24"/>
        </w:rPr>
        <w:t xml:space="preserve"> </w:t>
      </w:r>
      <w:r w:rsidRPr="009414FF">
        <w:rPr>
          <w:rFonts w:ascii="Arial" w:hAnsi="Arial" w:cs="Arial"/>
          <w:sz w:val="24"/>
          <w:szCs w:val="24"/>
        </w:rPr>
        <w:t>the</w:t>
      </w:r>
      <w:r w:rsidRPr="009414FF">
        <w:rPr>
          <w:rFonts w:ascii="Arial" w:hAnsi="Arial" w:cs="Arial"/>
          <w:spacing w:val="-4"/>
          <w:sz w:val="24"/>
          <w:szCs w:val="24"/>
        </w:rPr>
        <w:t xml:space="preserve"> </w:t>
      </w:r>
      <w:r w:rsidRPr="009414FF">
        <w:rPr>
          <w:rFonts w:ascii="Arial" w:hAnsi="Arial" w:cs="Arial"/>
          <w:sz w:val="24"/>
          <w:szCs w:val="24"/>
        </w:rPr>
        <w:t xml:space="preserve">University’s </w:t>
      </w:r>
      <w:hyperlink r:id="rId9">
        <w:r w:rsidRPr="009414FF">
          <w:rPr>
            <w:rFonts w:ascii="Arial" w:hAnsi="Arial" w:cs="Arial"/>
            <w:color w:val="0000FF"/>
            <w:sz w:val="24"/>
            <w:szCs w:val="24"/>
            <w:u w:val="single" w:color="0000FF"/>
          </w:rPr>
          <w:t>staff</w:t>
        </w:r>
      </w:hyperlink>
      <w:r w:rsidRPr="009414FF">
        <w:rPr>
          <w:rFonts w:ascii="Arial" w:hAnsi="Arial" w:cs="Arial"/>
          <w:color w:val="0000FF"/>
          <w:sz w:val="24"/>
          <w:szCs w:val="24"/>
        </w:rPr>
        <w:t xml:space="preserve"> </w:t>
      </w:r>
      <w:hyperlink r:id="rId10">
        <w:r w:rsidRPr="009414FF">
          <w:rPr>
            <w:rFonts w:ascii="Arial" w:hAnsi="Arial" w:cs="Arial"/>
            <w:color w:val="0000FF"/>
            <w:sz w:val="24"/>
            <w:szCs w:val="24"/>
            <w:u w:val="single" w:color="0000FF"/>
          </w:rPr>
          <w:t>disciplinary processes</w:t>
        </w:r>
      </w:hyperlink>
      <w:r w:rsidRPr="009414FF">
        <w:rPr>
          <w:rFonts w:ascii="Arial" w:hAnsi="Arial" w:cs="Arial"/>
          <w:color w:val="0000FF"/>
          <w:sz w:val="24"/>
          <w:szCs w:val="24"/>
        </w:rPr>
        <w:t xml:space="preserve"> </w:t>
      </w:r>
      <w:r w:rsidRPr="009414FF">
        <w:rPr>
          <w:rFonts w:ascii="Arial" w:hAnsi="Arial" w:cs="Arial"/>
          <w:sz w:val="24"/>
          <w:szCs w:val="24"/>
        </w:rPr>
        <w:t xml:space="preserve">or general </w:t>
      </w:r>
      <w:hyperlink r:id="rId11">
        <w:r w:rsidRPr="009414FF">
          <w:rPr>
            <w:rFonts w:ascii="Arial" w:hAnsi="Arial" w:cs="Arial"/>
            <w:color w:val="0000FF"/>
            <w:sz w:val="24"/>
            <w:szCs w:val="24"/>
            <w:u w:val="single" w:color="0000FF"/>
          </w:rPr>
          <w:t>student regulations</w:t>
        </w:r>
      </w:hyperlink>
      <w:r w:rsidRPr="009414FF">
        <w:rPr>
          <w:rFonts w:ascii="Arial" w:hAnsi="Arial" w:cs="Arial"/>
          <w:sz w:val="24"/>
          <w:szCs w:val="24"/>
        </w:rPr>
        <w:t>.</w:t>
      </w:r>
    </w:p>
    <w:p w14:paraId="72EB5DDE" w14:textId="77777777" w:rsidR="00F62F8B" w:rsidRPr="009414FF" w:rsidRDefault="00F62F8B" w:rsidP="00F62F8B">
      <w:pPr>
        <w:pStyle w:val="BodyText"/>
        <w:spacing w:before="123"/>
        <w:ind w:right="382"/>
        <w:rPr>
          <w:rFonts w:ascii="Arial" w:hAnsi="Arial" w:cs="Arial"/>
          <w:b w:val="0"/>
          <w:bCs w:val="0"/>
          <w:sz w:val="24"/>
          <w:szCs w:val="24"/>
        </w:rPr>
      </w:pPr>
      <w:r w:rsidRPr="009414FF">
        <w:rPr>
          <w:rFonts w:ascii="Arial" w:hAnsi="Arial" w:cs="Arial"/>
          <w:b w:val="0"/>
          <w:bCs w:val="0"/>
          <w:sz w:val="24"/>
          <w:szCs w:val="24"/>
        </w:rPr>
        <w:t>Information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about</w:t>
      </w:r>
      <w:r w:rsidRPr="009414FF">
        <w:rPr>
          <w:rFonts w:ascii="Arial" w:hAnsi="Arial" w:cs="Arial"/>
          <w:b w:val="0"/>
          <w:bCs w:val="0"/>
          <w:spacing w:val="-7"/>
          <w:sz w:val="24"/>
          <w:szCs w:val="24"/>
        </w:rPr>
        <w:t xml:space="preserve"> </w:t>
      </w:r>
      <w:r w:rsidRPr="009414FF">
        <w:rPr>
          <w:rFonts w:ascii="Arial" w:hAnsi="Arial" w:cs="Arial"/>
          <w:b w:val="0"/>
          <w:bCs w:val="0"/>
          <w:sz w:val="24"/>
          <w:szCs w:val="24"/>
        </w:rPr>
        <w:t>infringement</w:t>
      </w:r>
      <w:r w:rsidRPr="009414FF">
        <w:rPr>
          <w:rFonts w:ascii="Arial" w:hAnsi="Arial" w:cs="Arial"/>
          <w:b w:val="0"/>
          <w:bCs w:val="0"/>
          <w:spacing w:val="-7"/>
          <w:sz w:val="24"/>
          <w:szCs w:val="24"/>
        </w:rPr>
        <w:t xml:space="preserve"> </w:t>
      </w:r>
      <w:r w:rsidRPr="009414FF">
        <w:rPr>
          <w:rFonts w:ascii="Arial" w:hAnsi="Arial" w:cs="Arial"/>
          <w:b w:val="0"/>
          <w:bCs w:val="0"/>
          <w:sz w:val="24"/>
          <w:szCs w:val="24"/>
        </w:rPr>
        <w:t>may</w:t>
      </w:r>
      <w:r w:rsidRPr="009414FF">
        <w:rPr>
          <w:rFonts w:ascii="Arial" w:hAnsi="Arial" w:cs="Arial"/>
          <w:b w:val="0"/>
          <w:bCs w:val="0"/>
          <w:spacing w:val="-5"/>
          <w:sz w:val="24"/>
          <w:szCs w:val="24"/>
        </w:rPr>
        <w:t xml:space="preserve"> </w:t>
      </w:r>
      <w:r w:rsidRPr="009414FF">
        <w:rPr>
          <w:rFonts w:ascii="Arial" w:hAnsi="Arial" w:cs="Arial"/>
          <w:b w:val="0"/>
          <w:bCs w:val="0"/>
          <w:sz w:val="24"/>
          <w:szCs w:val="24"/>
        </w:rPr>
        <w:t>be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passed</w:t>
      </w:r>
      <w:r w:rsidRPr="009414FF">
        <w:rPr>
          <w:rFonts w:ascii="Arial" w:hAnsi="Arial" w:cs="Arial"/>
          <w:b w:val="0"/>
          <w:bCs w:val="0"/>
          <w:spacing w:val="-4"/>
          <w:sz w:val="24"/>
          <w:szCs w:val="24"/>
        </w:rPr>
        <w:t xml:space="preserve"> </w:t>
      </w:r>
      <w:r w:rsidRPr="009414FF">
        <w:rPr>
          <w:rFonts w:ascii="Arial" w:hAnsi="Arial" w:cs="Arial"/>
          <w:b w:val="0"/>
          <w:bCs w:val="0"/>
          <w:sz w:val="24"/>
          <w:szCs w:val="24"/>
        </w:rPr>
        <w:t>to</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appropriate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law</w:t>
      </w:r>
      <w:r w:rsidRPr="009414FF">
        <w:rPr>
          <w:rFonts w:ascii="Arial" w:hAnsi="Arial" w:cs="Arial"/>
          <w:b w:val="0"/>
          <w:bCs w:val="0"/>
          <w:spacing w:val="-4"/>
          <w:sz w:val="24"/>
          <w:szCs w:val="24"/>
        </w:rPr>
        <w:t xml:space="preserve"> </w:t>
      </w:r>
      <w:r w:rsidRPr="009414FF">
        <w:rPr>
          <w:rFonts w:ascii="Arial" w:hAnsi="Arial" w:cs="Arial"/>
          <w:b w:val="0"/>
          <w:bCs w:val="0"/>
          <w:sz w:val="24"/>
          <w:szCs w:val="24"/>
        </w:rPr>
        <w:t xml:space="preserve">enforcement agencies, and any other </w:t>
      </w:r>
      <w:proofErr w:type="spellStart"/>
      <w:r w:rsidRPr="009414FF">
        <w:rPr>
          <w:rFonts w:ascii="Arial" w:hAnsi="Arial" w:cs="Arial"/>
          <w:b w:val="0"/>
          <w:bCs w:val="0"/>
          <w:sz w:val="24"/>
          <w:szCs w:val="24"/>
        </w:rPr>
        <w:t>organisations</w:t>
      </w:r>
      <w:proofErr w:type="spellEnd"/>
      <w:r w:rsidRPr="009414FF">
        <w:rPr>
          <w:rFonts w:ascii="Arial" w:hAnsi="Arial" w:cs="Arial"/>
          <w:b w:val="0"/>
          <w:bCs w:val="0"/>
          <w:sz w:val="24"/>
          <w:szCs w:val="24"/>
        </w:rPr>
        <w:t xml:space="preserve"> whose regulations you have breached.</w:t>
      </w:r>
    </w:p>
    <w:p w14:paraId="4A7D1186" w14:textId="77777777" w:rsidR="00F62F8B" w:rsidRPr="009414FF" w:rsidRDefault="00F62F8B" w:rsidP="00F62F8B">
      <w:pPr>
        <w:pStyle w:val="BodyText"/>
        <w:spacing w:before="122"/>
        <w:ind w:right="382"/>
        <w:rPr>
          <w:rFonts w:ascii="Arial" w:hAnsi="Arial" w:cs="Arial"/>
          <w:b w:val="0"/>
          <w:bCs w:val="0"/>
          <w:sz w:val="24"/>
          <w:szCs w:val="24"/>
        </w:rPr>
      </w:pPr>
      <w:r w:rsidRPr="009414FF">
        <w:rPr>
          <w:rFonts w:ascii="Arial" w:hAnsi="Arial" w:cs="Arial"/>
          <w:b w:val="0"/>
          <w:bCs w:val="0"/>
          <w:sz w:val="24"/>
          <w:szCs w:val="24"/>
        </w:rPr>
        <w:t>London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Metropolitan</w:t>
      </w:r>
      <w:r w:rsidRPr="009414FF">
        <w:rPr>
          <w:rFonts w:ascii="Arial" w:hAnsi="Arial" w:cs="Arial"/>
          <w:b w:val="0"/>
          <w:bCs w:val="0"/>
          <w:spacing w:val="-4"/>
          <w:sz w:val="24"/>
          <w:szCs w:val="24"/>
        </w:rPr>
        <w:t xml:space="preserve"> </w:t>
      </w:r>
      <w:r w:rsidRPr="009414FF">
        <w:rPr>
          <w:rFonts w:ascii="Arial" w:hAnsi="Arial" w:cs="Arial"/>
          <w:b w:val="0"/>
          <w:bCs w:val="0"/>
          <w:sz w:val="24"/>
          <w:szCs w:val="24"/>
        </w:rPr>
        <w:t>University</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reserves</w:t>
      </w:r>
      <w:r w:rsidRPr="009414FF">
        <w:rPr>
          <w:rFonts w:ascii="Arial" w:hAnsi="Arial" w:cs="Arial"/>
          <w:b w:val="0"/>
          <w:bCs w:val="0"/>
          <w:spacing w:val="-4"/>
          <w:sz w:val="24"/>
          <w:szCs w:val="24"/>
        </w:rPr>
        <w:t xml:space="preserve"> </w:t>
      </w:r>
      <w:r w:rsidRPr="009414FF">
        <w:rPr>
          <w:rFonts w:ascii="Arial" w:hAnsi="Arial" w:cs="Arial"/>
          <w:b w:val="0"/>
          <w:bCs w:val="0"/>
          <w:sz w:val="24"/>
          <w:szCs w:val="24"/>
        </w:rPr>
        <w:t>the</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right</w:t>
      </w:r>
      <w:r w:rsidRPr="009414FF">
        <w:rPr>
          <w:rFonts w:ascii="Arial" w:hAnsi="Arial" w:cs="Arial"/>
          <w:b w:val="0"/>
          <w:bCs w:val="0"/>
          <w:spacing w:val="-6"/>
          <w:sz w:val="24"/>
          <w:szCs w:val="24"/>
        </w:rPr>
        <w:t xml:space="preserve"> </w:t>
      </w:r>
      <w:r w:rsidRPr="009414FF">
        <w:rPr>
          <w:rFonts w:ascii="Arial" w:hAnsi="Arial" w:cs="Arial"/>
          <w:b w:val="0"/>
          <w:bCs w:val="0"/>
          <w:sz w:val="24"/>
          <w:szCs w:val="24"/>
        </w:rPr>
        <w:t>to</w:t>
      </w:r>
      <w:r w:rsidRPr="009414FF">
        <w:rPr>
          <w:rFonts w:ascii="Arial" w:hAnsi="Arial" w:cs="Arial"/>
          <w:b w:val="0"/>
          <w:bCs w:val="0"/>
          <w:spacing w:val="-4"/>
          <w:sz w:val="24"/>
          <w:szCs w:val="24"/>
        </w:rPr>
        <w:t xml:space="preserve"> </w:t>
      </w:r>
      <w:r w:rsidRPr="009414FF">
        <w:rPr>
          <w:rFonts w:ascii="Arial" w:hAnsi="Arial" w:cs="Arial"/>
          <w:b w:val="0"/>
          <w:bCs w:val="0"/>
          <w:sz w:val="24"/>
          <w:szCs w:val="24"/>
        </w:rPr>
        <w:t>recover</w:t>
      </w:r>
      <w:r w:rsidRPr="009414FF">
        <w:rPr>
          <w:rFonts w:ascii="Arial" w:hAnsi="Arial" w:cs="Arial"/>
          <w:b w:val="0"/>
          <w:bCs w:val="0"/>
          <w:spacing w:val="-4"/>
          <w:sz w:val="24"/>
          <w:szCs w:val="24"/>
        </w:rPr>
        <w:t xml:space="preserve"> </w:t>
      </w:r>
      <w:r w:rsidRPr="009414FF">
        <w:rPr>
          <w:rFonts w:ascii="Arial" w:hAnsi="Arial" w:cs="Arial"/>
          <w:b w:val="0"/>
          <w:bCs w:val="0"/>
          <w:sz w:val="24"/>
          <w:szCs w:val="24"/>
        </w:rPr>
        <w:t>from</w:t>
      </w:r>
      <w:r w:rsidRPr="009414FF">
        <w:rPr>
          <w:rFonts w:ascii="Arial" w:hAnsi="Arial" w:cs="Arial"/>
          <w:b w:val="0"/>
          <w:bCs w:val="0"/>
          <w:spacing w:val="-4"/>
          <w:sz w:val="24"/>
          <w:szCs w:val="24"/>
        </w:rPr>
        <w:t xml:space="preserve"> </w:t>
      </w:r>
      <w:r w:rsidRPr="009414FF">
        <w:rPr>
          <w:rFonts w:ascii="Arial" w:hAnsi="Arial" w:cs="Arial"/>
          <w:b w:val="0"/>
          <w:bCs w:val="0"/>
          <w:sz w:val="24"/>
          <w:szCs w:val="24"/>
        </w:rPr>
        <w:t>you</w:t>
      </w:r>
      <w:r w:rsidRPr="009414FF">
        <w:rPr>
          <w:rFonts w:ascii="Arial" w:hAnsi="Arial" w:cs="Arial"/>
          <w:b w:val="0"/>
          <w:bCs w:val="0"/>
          <w:spacing w:val="-4"/>
          <w:sz w:val="24"/>
          <w:szCs w:val="24"/>
        </w:rPr>
        <w:t xml:space="preserve"> </w:t>
      </w:r>
      <w:r w:rsidRPr="009414FF">
        <w:rPr>
          <w:rFonts w:ascii="Arial" w:hAnsi="Arial" w:cs="Arial"/>
          <w:b w:val="0"/>
          <w:bCs w:val="0"/>
          <w:sz w:val="24"/>
          <w:szCs w:val="24"/>
        </w:rPr>
        <w:t>any</w:t>
      </w:r>
      <w:r w:rsidRPr="009414FF">
        <w:rPr>
          <w:rFonts w:ascii="Arial" w:hAnsi="Arial" w:cs="Arial"/>
          <w:b w:val="0"/>
          <w:bCs w:val="0"/>
          <w:spacing w:val="-4"/>
          <w:sz w:val="24"/>
          <w:szCs w:val="24"/>
        </w:rPr>
        <w:t xml:space="preserve"> </w:t>
      </w:r>
      <w:r w:rsidRPr="009414FF">
        <w:rPr>
          <w:rFonts w:ascii="Arial" w:hAnsi="Arial" w:cs="Arial"/>
          <w:b w:val="0"/>
          <w:bCs w:val="0"/>
          <w:sz w:val="24"/>
          <w:szCs w:val="24"/>
        </w:rPr>
        <w:t xml:space="preserve">costs incurred </w:t>
      </w:r>
      <w:proofErr w:type="gramStart"/>
      <w:r w:rsidRPr="009414FF">
        <w:rPr>
          <w:rFonts w:ascii="Arial" w:hAnsi="Arial" w:cs="Arial"/>
          <w:b w:val="0"/>
          <w:bCs w:val="0"/>
          <w:sz w:val="24"/>
          <w:szCs w:val="24"/>
        </w:rPr>
        <w:t>as a result of</w:t>
      </w:r>
      <w:proofErr w:type="gramEnd"/>
      <w:r w:rsidRPr="009414FF">
        <w:rPr>
          <w:rFonts w:ascii="Arial" w:hAnsi="Arial" w:cs="Arial"/>
          <w:b w:val="0"/>
          <w:bCs w:val="0"/>
          <w:sz w:val="24"/>
          <w:szCs w:val="24"/>
        </w:rPr>
        <w:t xml:space="preserve"> your infringement.</w:t>
      </w:r>
    </w:p>
    <w:p w14:paraId="3B160F88" w14:textId="77777777" w:rsidR="00F62F8B" w:rsidRPr="009414FF" w:rsidRDefault="00F62F8B" w:rsidP="00F62F8B">
      <w:pPr>
        <w:rPr>
          <w:rFonts w:ascii="Arial" w:hAnsi="Arial" w:cs="Arial"/>
          <w:sz w:val="24"/>
          <w:szCs w:val="24"/>
        </w:rPr>
      </w:pPr>
    </w:p>
    <w:p w14:paraId="585EA3AE" w14:textId="77777777" w:rsidR="00F62F8B" w:rsidRPr="009414FF" w:rsidRDefault="00F62F8B" w:rsidP="00F62F8B">
      <w:pPr>
        <w:jc w:val="both"/>
        <w:rPr>
          <w:rFonts w:ascii="Arial" w:hAnsi="Arial" w:cs="Arial"/>
          <w:strike/>
          <w:sz w:val="24"/>
          <w:szCs w:val="24"/>
        </w:rPr>
      </w:pPr>
      <w:r w:rsidRPr="009414FF">
        <w:rPr>
          <w:rFonts w:ascii="Arial" w:hAnsi="Arial" w:cs="Arial"/>
          <w:sz w:val="24"/>
          <w:szCs w:val="24"/>
        </w:rPr>
        <w:t>You must inform IT Services if you become aware of any infringement of these regulations.</w:t>
      </w:r>
    </w:p>
    <w:p w14:paraId="6A1F4114" w14:textId="77777777" w:rsidR="00976B95" w:rsidRPr="00FC1DF0" w:rsidRDefault="00976B95" w:rsidP="00F62F8B">
      <w:pPr>
        <w:pStyle w:val="Heading1"/>
        <w:rPr>
          <w:rFonts w:ascii="Arial" w:hAnsi="Arial" w:cs="Arial"/>
        </w:rPr>
      </w:pPr>
    </w:p>
    <w:sectPr w:rsidR="00976B95" w:rsidRPr="00FC1DF0">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6474" w14:textId="77777777" w:rsidR="00AB7396" w:rsidRDefault="00AB7396" w:rsidP="00976B95">
      <w:r>
        <w:separator/>
      </w:r>
    </w:p>
  </w:endnote>
  <w:endnote w:type="continuationSeparator" w:id="0">
    <w:p w14:paraId="002AF5EC" w14:textId="77777777" w:rsidR="00AB7396" w:rsidRDefault="00AB7396" w:rsidP="0097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4558290"/>
      <w:docPartObj>
        <w:docPartGallery w:val="Page Numbers (Bottom of Page)"/>
        <w:docPartUnique/>
      </w:docPartObj>
    </w:sdtPr>
    <w:sdtContent>
      <w:p w14:paraId="4E1D9730" w14:textId="44A92195" w:rsidR="003D1C79" w:rsidRDefault="003D1C79" w:rsidP="002377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D51340" w14:textId="77777777" w:rsidR="003D1C79" w:rsidRDefault="003D1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0760204"/>
      <w:docPartObj>
        <w:docPartGallery w:val="Page Numbers (Bottom of Page)"/>
        <w:docPartUnique/>
      </w:docPartObj>
    </w:sdtPr>
    <w:sdtContent>
      <w:p w14:paraId="77804A56" w14:textId="1592B0BA" w:rsidR="003D1C79" w:rsidRDefault="003D1C79" w:rsidP="002377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5</w:t>
        </w:r>
      </w:p>
    </w:sdtContent>
  </w:sdt>
  <w:p w14:paraId="148C6DCE" w14:textId="5C8478F4" w:rsidR="003D1C79" w:rsidRDefault="003D1C79" w:rsidP="003D1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1529" w14:textId="77777777" w:rsidR="00AB7396" w:rsidRDefault="00AB7396" w:rsidP="00976B95">
      <w:r>
        <w:separator/>
      </w:r>
    </w:p>
  </w:footnote>
  <w:footnote w:type="continuationSeparator" w:id="0">
    <w:p w14:paraId="6DC64EEF" w14:textId="77777777" w:rsidR="00AB7396" w:rsidRDefault="00AB7396" w:rsidP="0097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DEEF" w14:textId="38735491" w:rsidR="00976B95" w:rsidRDefault="00976B95">
    <w:pPr>
      <w:pStyle w:val="Header"/>
    </w:pPr>
    <w:r>
      <w:rPr>
        <w:noProof/>
        <w:lang w:val="en-GB" w:eastAsia="zh-CN"/>
      </w:rPr>
      <w:drawing>
        <wp:inline distT="0" distB="0" distL="0" distR="0" wp14:anchorId="3B800974" wp14:editId="39F78B9F">
          <wp:extent cx="2160905" cy="554355"/>
          <wp:effectExtent l="0" t="0" r="0" b="0"/>
          <wp:docPr id="2" name="Picture 2" title="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p w14:paraId="1F0CE845" w14:textId="77777777" w:rsidR="00976B95" w:rsidRDefault="00976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B64"/>
    <w:multiLevelType w:val="multilevel"/>
    <w:tmpl w:val="C1127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4A6FD8"/>
    <w:multiLevelType w:val="hybridMultilevel"/>
    <w:tmpl w:val="24567214"/>
    <w:lvl w:ilvl="0" w:tplc="C87856D8">
      <w:start w:val="1"/>
      <w:numFmt w:val="decimal"/>
      <w:lvlText w:val="%1."/>
      <w:lvlJc w:val="left"/>
      <w:pPr>
        <w:ind w:left="360" w:hanging="360"/>
      </w:pPr>
      <w:rPr>
        <w:rFonts w:ascii="Arial" w:hAnsi="Arial" w:cs="Arial" w:hint="default"/>
        <w:sz w:val="28"/>
        <w:szCs w:val="28"/>
      </w:rPr>
    </w:lvl>
    <w:lvl w:ilvl="1" w:tplc="8B62C34C">
      <w:start w:val="1"/>
      <w:numFmt w:val="decimal"/>
      <w:lvlText w:val="%2.0"/>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5B002F"/>
    <w:multiLevelType w:val="multilevel"/>
    <w:tmpl w:val="8F72893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F271CE"/>
    <w:multiLevelType w:val="hybridMultilevel"/>
    <w:tmpl w:val="6A62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91438"/>
    <w:multiLevelType w:val="multilevel"/>
    <w:tmpl w:val="0409001F"/>
    <w:numStyleLink w:val="CurrentList1"/>
  </w:abstractNum>
  <w:abstractNum w:abstractNumId="5" w15:restartNumberingAfterBreak="0">
    <w:nsid w:val="5DA267F2"/>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1F6B8F"/>
    <w:multiLevelType w:val="multilevel"/>
    <w:tmpl w:val="5554E212"/>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79597283">
    <w:abstractNumId w:val="1"/>
  </w:num>
  <w:num w:numId="2" w16cid:durableId="268511094">
    <w:abstractNumId w:val="3"/>
  </w:num>
  <w:num w:numId="3" w16cid:durableId="808401276">
    <w:abstractNumId w:val="6"/>
  </w:num>
  <w:num w:numId="4" w16cid:durableId="2024672886">
    <w:abstractNumId w:val="5"/>
  </w:num>
  <w:num w:numId="5" w16cid:durableId="942418810">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b/>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50617757">
    <w:abstractNumId w:val="0"/>
  </w:num>
  <w:num w:numId="7" w16cid:durableId="18602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95"/>
    <w:rsid w:val="00015142"/>
    <w:rsid w:val="00273328"/>
    <w:rsid w:val="002B7217"/>
    <w:rsid w:val="003D1C79"/>
    <w:rsid w:val="0047324B"/>
    <w:rsid w:val="00693868"/>
    <w:rsid w:val="006B7CBA"/>
    <w:rsid w:val="006E73B3"/>
    <w:rsid w:val="00777052"/>
    <w:rsid w:val="00794456"/>
    <w:rsid w:val="00976B95"/>
    <w:rsid w:val="00A279E6"/>
    <w:rsid w:val="00AB7396"/>
    <w:rsid w:val="00BB5C8C"/>
    <w:rsid w:val="00BC1753"/>
    <w:rsid w:val="00C36BF2"/>
    <w:rsid w:val="00D002E3"/>
    <w:rsid w:val="00D53586"/>
    <w:rsid w:val="00F62F8B"/>
    <w:rsid w:val="00F94E46"/>
    <w:rsid w:val="00FC1DF0"/>
    <w:rsid w:val="00FE31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EC9E79"/>
  <w15:chartTrackingRefBased/>
  <w15:docId w15:val="{A074651B-2EDD-E64D-8C34-F518C2D3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6B95"/>
    <w:pPr>
      <w:widowControl w:val="0"/>
      <w:autoSpaceDE w:val="0"/>
      <w:autoSpaceDN w:val="0"/>
      <w:spacing w:after="0" w:line="240" w:lineRule="auto"/>
    </w:pPr>
    <w:rPr>
      <w:rFonts w:ascii="Calibri" w:eastAsia="Calibri" w:hAnsi="Calibri" w:cs="Calibri"/>
      <w:kern w:val="0"/>
      <w:sz w:val="22"/>
      <w:szCs w:val="22"/>
      <w:lang w:val="en-US" w:bidi="en-US"/>
      <w14:ligatures w14:val="none"/>
    </w:rPr>
  </w:style>
  <w:style w:type="paragraph" w:styleId="Heading1">
    <w:name w:val="heading 1"/>
    <w:basedOn w:val="Normal"/>
    <w:next w:val="Normal"/>
    <w:link w:val="Heading1Char"/>
    <w:uiPriority w:val="9"/>
    <w:qFormat/>
    <w:rsid w:val="00976B95"/>
    <w:pPr>
      <w:keepNext/>
      <w:keepLines/>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semiHidden/>
    <w:unhideWhenUsed/>
    <w:qFormat/>
    <w:rsid w:val="00976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B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B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B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B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B95"/>
    <w:rPr>
      <w:rFonts w:asciiTheme="majorHAnsi" w:eastAsiaTheme="majorEastAsia" w:hAnsiTheme="majorHAnsi" w:cstheme="majorBidi"/>
      <w:b/>
      <w:color w:val="000000" w:themeColor="text1"/>
      <w:kern w:val="0"/>
      <w:sz w:val="28"/>
      <w:szCs w:val="40"/>
      <w:lang w:val="en-US" w:bidi="en-US"/>
      <w14:ligatures w14:val="none"/>
    </w:rPr>
  </w:style>
  <w:style w:type="character" w:customStyle="1" w:styleId="Heading2Char">
    <w:name w:val="Heading 2 Char"/>
    <w:basedOn w:val="DefaultParagraphFont"/>
    <w:link w:val="Heading2"/>
    <w:uiPriority w:val="9"/>
    <w:semiHidden/>
    <w:rsid w:val="00976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B95"/>
    <w:rPr>
      <w:rFonts w:eastAsiaTheme="majorEastAsia" w:cstheme="majorBidi"/>
      <w:color w:val="272727" w:themeColor="text1" w:themeTint="D8"/>
    </w:rPr>
  </w:style>
  <w:style w:type="paragraph" w:styleId="Title">
    <w:name w:val="Title"/>
    <w:basedOn w:val="Normal"/>
    <w:next w:val="Normal"/>
    <w:link w:val="TitleChar"/>
    <w:uiPriority w:val="10"/>
    <w:qFormat/>
    <w:rsid w:val="00976B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B95"/>
    <w:pPr>
      <w:spacing w:before="160"/>
      <w:jc w:val="center"/>
    </w:pPr>
    <w:rPr>
      <w:i/>
      <w:iCs/>
      <w:color w:val="404040" w:themeColor="text1" w:themeTint="BF"/>
    </w:rPr>
  </w:style>
  <w:style w:type="character" w:customStyle="1" w:styleId="QuoteChar">
    <w:name w:val="Quote Char"/>
    <w:basedOn w:val="DefaultParagraphFont"/>
    <w:link w:val="Quote"/>
    <w:uiPriority w:val="29"/>
    <w:rsid w:val="00976B95"/>
    <w:rPr>
      <w:i/>
      <w:iCs/>
      <w:color w:val="404040" w:themeColor="text1" w:themeTint="BF"/>
    </w:rPr>
  </w:style>
  <w:style w:type="paragraph" w:styleId="ListParagraph">
    <w:name w:val="List Paragraph"/>
    <w:basedOn w:val="Normal"/>
    <w:uiPriority w:val="34"/>
    <w:qFormat/>
    <w:rsid w:val="00976B95"/>
    <w:pPr>
      <w:ind w:left="720"/>
      <w:contextualSpacing/>
    </w:pPr>
  </w:style>
  <w:style w:type="character" w:styleId="IntenseEmphasis">
    <w:name w:val="Intense Emphasis"/>
    <w:basedOn w:val="DefaultParagraphFont"/>
    <w:uiPriority w:val="21"/>
    <w:qFormat/>
    <w:rsid w:val="00976B95"/>
    <w:rPr>
      <w:i/>
      <w:iCs/>
      <w:color w:val="0F4761" w:themeColor="accent1" w:themeShade="BF"/>
    </w:rPr>
  </w:style>
  <w:style w:type="paragraph" w:styleId="IntenseQuote">
    <w:name w:val="Intense Quote"/>
    <w:basedOn w:val="Normal"/>
    <w:next w:val="Normal"/>
    <w:link w:val="IntenseQuoteChar"/>
    <w:uiPriority w:val="30"/>
    <w:qFormat/>
    <w:rsid w:val="00976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B95"/>
    <w:rPr>
      <w:i/>
      <w:iCs/>
      <w:color w:val="0F4761" w:themeColor="accent1" w:themeShade="BF"/>
    </w:rPr>
  </w:style>
  <w:style w:type="character" w:styleId="IntenseReference">
    <w:name w:val="Intense Reference"/>
    <w:basedOn w:val="DefaultParagraphFont"/>
    <w:uiPriority w:val="32"/>
    <w:qFormat/>
    <w:rsid w:val="00976B95"/>
    <w:rPr>
      <w:b/>
      <w:bCs/>
      <w:smallCaps/>
      <w:color w:val="0F4761" w:themeColor="accent1" w:themeShade="BF"/>
      <w:spacing w:val="5"/>
    </w:rPr>
  </w:style>
  <w:style w:type="paragraph" w:customStyle="1" w:styleId="ListLevel1">
    <w:name w:val="List Level 1"/>
    <w:basedOn w:val="ListParagraph"/>
    <w:qFormat/>
    <w:rsid w:val="00976B95"/>
    <w:pPr>
      <w:spacing w:before="120" w:after="120" w:line="360" w:lineRule="auto"/>
      <w:ind w:left="0"/>
    </w:pPr>
    <w:rPr>
      <w:rFonts w:asciiTheme="minorBidi" w:eastAsiaTheme="minorEastAsia" w:hAnsiTheme="minorBidi"/>
      <w:b/>
      <w:bCs/>
      <w:sz w:val="18"/>
      <w:szCs w:val="18"/>
      <w:lang w:eastAsia="zh-CN"/>
    </w:rPr>
  </w:style>
  <w:style w:type="table" w:styleId="GridTable1Light">
    <w:name w:val="Grid Table 1 Light"/>
    <w:basedOn w:val="TableNormal"/>
    <w:uiPriority w:val="46"/>
    <w:rsid w:val="00976B95"/>
    <w:pPr>
      <w:spacing w:after="0" w:line="240" w:lineRule="auto"/>
    </w:pPr>
    <w:rPr>
      <w:rFonts w:eastAsiaTheme="minorEastAsia"/>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76B95"/>
    <w:pPr>
      <w:tabs>
        <w:tab w:val="center" w:pos="4513"/>
        <w:tab w:val="right" w:pos="9026"/>
      </w:tabs>
    </w:pPr>
  </w:style>
  <w:style w:type="character" w:customStyle="1" w:styleId="HeaderChar">
    <w:name w:val="Header Char"/>
    <w:basedOn w:val="DefaultParagraphFont"/>
    <w:link w:val="Header"/>
    <w:uiPriority w:val="99"/>
    <w:rsid w:val="00976B95"/>
    <w:rPr>
      <w:rFonts w:ascii="Calibri" w:eastAsia="Calibri" w:hAnsi="Calibri" w:cs="Calibri"/>
      <w:kern w:val="0"/>
      <w:sz w:val="22"/>
      <w:szCs w:val="22"/>
      <w:lang w:val="en-US" w:bidi="en-US"/>
      <w14:ligatures w14:val="none"/>
    </w:rPr>
  </w:style>
  <w:style w:type="paragraph" w:styleId="Footer">
    <w:name w:val="footer"/>
    <w:basedOn w:val="Normal"/>
    <w:link w:val="FooterChar"/>
    <w:uiPriority w:val="99"/>
    <w:unhideWhenUsed/>
    <w:rsid w:val="00976B95"/>
    <w:pPr>
      <w:tabs>
        <w:tab w:val="center" w:pos="4513"/>
        <w:tab w:val="right" w:pos="9026"/>
      </w:tabs>
    </w:pPr>
  </w:style>
  <w:style w:type="character" w:customStyle="1" w:styleId="FooterChar">
    <w:name w:val="Footer Char"/>
    <w:basedOn w:val="DefaultParagraphFont"/>
    <w:link w:val="Footer"/>
    <w:uiPriority w:val="99"/>
    <w:rsid w:val="00976B95"/>
    <w:rPr>
      <w:rFonts w:ascii="Calibri" w:eastAsia="Calibri" w:hAnsi="Calibri" w:cs="Calibri"/>
      <w:kern w:val="0"/>
      <w:sz w:val="22"/>
      <w:szCs w:val="22"/>
      <w:lang w:val="en-US" w:bidi="en-US"/>
      <w14:ligatures w14:val="none"/>
    </w:rPr>
  </w:style>
  <w:style w:type="paragraph" w:customStyle="1" w:styleId="p1">
    <w:name w:val="p1"/>
    <w:basedOn w:val="Normal"/>
    <w:rsid w:val="00BB5C8C"/>
    <w:pPr>
      <w:widowControl/>
      <w:autoSpaceDE/>
      <w:autoSpaceDN/>
      <w:ind w:left="720"/>
    </w:pPr>
    <w:rPr>
      <w:rFonts w:ascii="Arial" w:eastAsia="Times New Roman" w:hAnsi="Arial" w:cs="Arial"/>
      <w:color w:val="000000"/>
      <w:sz w:val="18"/>
      <w:szCs w:val="18"/>
      <w:lang w:val="en-GB" w:eastAsia="en-GB" w:bidi="ar-SA"/>
    </w:rPr>
  </w:style>
  <w:style w:type="character" w:customStyle="1" w:styleId="s1">
    <w:name w:val="s1"/>
    <w:basedOn w:val="DefaultParagraphFont"/>
    <w:rsid w:val="003D1C79"/>
    <w:rPr>
      <w:rFonts w:ascii="Helvetica" w:hAnsi="Helvetica" w:hint="default"/>
      <w:sz w:val="18"/>
      <w:szCs w:val="18"/>
    </w:rPr>
  </w:style>
  <w:style w:type="paragraph" w:customStyle="1" w:styleId="p2">
    <w:name w:val="p2"/>
    <w:basedOn w:val="Normal"/>
    <w:rsid w:val="003D1C79"/>
    <w:pPr>
      <w:widowControl/>
      <w:autoSpaceDE/>
      <w:autoSpaceDN/>
    </w:pPr>
    <w:rPr>
      <w:rFonts w:ascii="Arial" w:eastAsia="Times New Roman" w:hAnsi="Arial" w:cs="Arial"/>
      <w:color w:val="000000"/>
      <w:sz w:val="18"/>
      <w:szCs w:val="18"/>
      <w:lang w:val="en-GB" w:eastAsia="en-GB" w:bidi="ar-SA"/>
    </w:rPr>
  </w:style>
  <w:style w:type="character" w:styleId="PageNumber">
    <w:name w:val="page number"/>
    <w:basedOn w:val="DefaultParagraphFont"/>
    <w:uiPriority w:val="99"/>
    <w:semiHidden/>
    <w:unhideWhenUsed/>
    <w:rsid w:val="003D1C79"/>
  </w:style>
  <w:style w:type="character" w:styleId="Hyperlink">
    <w:name w:val="Hyperlink"/>
    <w:basedOn w:val="DefaultParagraphFont"/>
    <w:uiPriority w:val="99"/>
    <w:unhideWhenUsed/>
    <w:rsid w:val="00FC1DF0"/>
    <w:rPr>
      <w:color w:val="467886" w:themeColor="hyperlink"/>
      <w:u w:val="single"/>
    </w:rPr>
  </w:style>
  <w:style w:type="numbering" w:customStyle="1" w:styleId="CurrentList1">
    <w:name w:val="Current List1"/>
    <w:uiPriority w:val="99"/>
    <w:rsid w:val="00FC1DF0"/>
    <w:pPr>
      <w:numPr>
        <w:numId w:val="4"/>
      </w:numPr>
    </w:pPr>
  </w:style>
  <w:style w:type="character" w:customStyle="1" w:styleId="apple-converted-space">
    <w:name w:val="apple-converted-space"/>
    <w:basedOn w:val="DefaultParagraphFont"/>
    <w:rsid w:val="00FC1DF0"/>
  </w:style>
  <w:style w:type="paragraph" w:styleId="BodyText">
    <w:name w:val="Body Text"/>
    <w:basedOn w:val="Normal"/>
    <w:link w:val="BodyTextChar"/>
    <w:uiPriority w:val="1"/>
    <w:qFormat/>
    <w:rsid w:val="00F62F8B"/>
    <w:rPr>
      <w:b/>
      <w:bCs/>
      <w:sz w:val="28"/>
      <w:szCs w:val="28"/>
    </w:rPr>
  </w:style>
  <w:style w:type="character" w:customStyle="1" w:styleId="BodyTextChar">
    <w:name w:val="Body Text Char"/>
    <w:basedOn w:val="DefaultParagraphFont"/>
    <w:link w:val="BodyText"/>
    <w:uiPriority w:val="1"/>
    <w:rsid w:val="00F62F8B"/>
    <w:rPr>
      <w:rFonts w:ascii="Calibri" w:eastAsia="Calibri" w:hAnsi="Calibri" w:cs="Calibri"/>
      <w:b/>
      <w:bCs/>
      <w:kern w:val="0"/>
      <w:sz w:val="28"/>
      <w:szCs w:val="28"/>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met.ac.uk/about/policies/freedom-of-spee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ondonmet.ac.uk/about/our-university/university-publications/strategy-201920--202425/"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ondonmet.ac.uk/your-studies/student-administration/rules-and-regulations/general-student-regul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udent.londonmet.ac.uk/your-studies/student-administration/rules-and-regulations/general-student-regulations/" TargetMode="External"/><Relationship Id="rId4" Type="http://schemas.openxmlformats.org/officeDocument/2006/relationships/webSettings" Target="webSettings.xml"/><Relationship Id="rId9" Type="http://schemas.openxmlformats.org/officeDocument/2006/relationships/hyperlink" Target="https://student.londonmet.ac.uk/your-studies/student-administration/rules-and-regulations/general-student-regulation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1143</Words>
  <Characters>6141</Characters>
  <Application>Microsoft Office Word</Application>
  <DocSecurity>0</DocSecurity>
  <Lines>161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Dickens</dc:creator>
  <cp:keywords/>
  <dc:description/>
  <cp:lastModifiedBy>Balgisa Ahmed</cp:lastModifiedBy>
  <cp:revision>6</cp:revision>
  <dcterms:created xsi:type="dcterms:W3CDTF">2025-10-20T13:40:00Z</dcterms:created>
  <dcterms:modified xsi:type="dcterms:W3CDTF">2026-04-15T12:33:00Z</dcterms:modified>
</cp:coreProperties>
</file>