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A650" w14:textId="77777777" w:rsidR="00D636B0" w:rsidRDefault="00D636B0" w:rsidP="00937F4D">
      <w:pPr>
        <w:pStyle w:val="Title"/>
        <w:spacing w:line="276" w:lineRule="auto"/>
      </w:pPr>
    </w:p>
    <w:p w14:paraId="57FA1A69" w14:textId="77777777" w:rsidR="00D636B0" w:rsidRDefault="00D636B0" w:rsidP="00937F4D">
      <w:pPr>
        <w:pStyle w:val="Title"/>
        <w:spacing w:line="276" w:lineRule="auto"/>
      </w:pPr>
    </w:p>
    <w:p w14:paraId="30D415B2" w14:textId="77777777" w:rsidR="00D636B0" w:rsidRDefault="00D636B0" w:rsidP="00937F4D">
      <w:pPr>
        <w:spacing w:line="276" w:lineRule="auto"/>
      </w:pPr>
    </w:p>
    <w:p w14:paraId="5351288D" w14:textId="77777777" w:rsidR="00326BFD" w:rsidRDefault="00326BFD" w:rsidP="00937F4D">
      <w:pPr>
        <w:spacing w:line="276" w:lineRule="auto"/>
      </w:pPr>
    </w:p>
    <w:p w14:paraId="6B8D8FB9" w14:textId="77777777" w:rsidR="00326BFD" w:rsidRDefault="00326BFD" w:rsidP="00937F4D">
      <w:pPr>
        <w:spacing w:line="276" w:lineRule="auto"/>
      </w:pPr>
    </w:p>
    <w:p w14:paraId="271F2C09" w14:textId="77777777" w:rsidR="00B84CD5" w:rsidRDefault="00B84CD5" w:rsidP="00937F4D">
      <w:pPr>
        <w:pStyle w:val="Title"/>
        <w:spacing w:line="276" w:lineRule="auto"/>
      </w:pPr>
    </w:p>
    <w:p w14:paraId="525F4494" w14:textId="77777777" w:rsidR="00C57B1B" w:rsidRPr="00C57B1B" w:rsidRDefault="00C57B1B" w:rsidP="00937F4D">
      <w:pPr>
        <w:spacing w:line="276" w:lineRule="auto"/>
      </w:pPr>
    </w:p>
    <w:p w14:paraId="7C6C414C" w14:textId="36CEE7D6" w:rsidR="00C57B1B" w:rsidRPr="00FA6D0C" w:rsidRDefault="00C57B1B" w:rsidP="00937F4D">
      <w:pPr>
        <w:spacing w:line="276" w:lineRule="auto"/>
        <w:rPr>
          <w:b/>
          <w:bCs/>
          <w:sz w:val="56"/>
          <w:szCs w:val="56"/>
        </w:rPr>
      </w:pPr>
      <w:bookmarkStart w:id="0" w:name="_Toc113380047"/>
      <w:bookmarkStart w:id="1" w:name="_Toc139841767"/>
      <w:r w:rsidRPr="2E7A21A8">
        <w:rPr>
          <w:b/>
          <w:bCs/>
          <w:sz w:val="56"/>
          <w:szCs w:val="56"/>
        </w:rPr>
        <w:t>Engagement Policy 202</w:t>
      </w:r>
      <w:r w:rsidR="4AEF6F38" w:rsidRPr="2E7A21A8">
        <w:rPr>
          <w:b/>
          <w:bCs/>
          <w:sz w:val="56"/>
          <w:szCs w:val="56"/>
        </w:rPr>
        <w:t>5</w:t>
      </w:r>
      <w:r w:rsidRPr="2E7A21A8">
        <w:rPr>
          <w:b/>
          <w:bCs/>
          <w:sz w:val="56"/>
          <w:szCs w:val="56"/>
        </w:rPr>
        <w:t>-2</w:t>
      </w:r>
      <w:r w:rsidR="37C7D940" w:rsidRPr="2E7A21A8">
        <w:rPr>
          <w:b/>
          <w:bCs/>
          <w:sz w:val="56"/>
          <w:szCs w:val="56"/>
        </w:rPr>
        <w:t>6</w:t>
      </w:r>
      <w:bookmarkEnd w:id="0"/>
      <w:bookmarkEnd w:id="1"/>
    </w:p>
    <w:p w14:paraId="170C5604" w14:textId="77777777" w:rsidR="008B70FB" w:rsidRPr="00326BFD" w:rsidRDefault="008B70FB" w:rsidP="00937F4D">
      <w:pPr>
        <w:spacing w:line="276" w:lineRule="auto"/>
        <w:rPr>
          <w:b/>
          <w:sz w:val="56"/>
          <w:szCs w:val="56"/>
        </w:rPr>
      </w:pPr>
    </w:p>
    <w:p w14:paraId="4F4C8648" w14:textId="77777777" w:rsidR="00D636B0" w:rsidRDefault="00D636B0" w:rsidP="00937F4D">
      <w:pPr>
        <w:pStyle w:val="Heading1"/>
        <w:spacing w:line="276" w:lineRule="auto"/>
        <w:rPr>
          <w:sz w:val="24"/>
          <w:szCs w:val="24"/>
        </w:rPr>
      </w:pPr>
    </w:p>
    <w:p w14:paraId="45C86627" w14:textId="77777777" w:rsidR="00B84CD5" w:rsidRDefault="00B84CD5" w:rsidP="00937F4D">
      <w:pPr>
        <w:spacing w:line="276" w:lineRule="auto"/>
      </w:pPr>
    </w:p>
    <w:p w14:paraId="503F2724" w14:textId="77777777" w:rsidR="003C5DC8" w:rsidRDefault="003C5DC8" w:rsidP="00937F4D">
      <w:pPr>
        <w:spacing w:line="276" w:lineRule="auto"/>
      </w:pPr>
    </w:p>
    <w:p w14:paraId="21CD6FEA" w14:textId="77777777" w:rsidR="00D636B0" w:rsidRDefault="00D636B0" w:rsidP="00937F4D">
      <w:pPr>
        <w:spacing w:line="276" w:lineRule="auto"/>
      </w:pPr>
    </w:p>
    <w:p w14:paraId="614B23B2" w14:textId="77777777" w:rsidR="00D636B0" w:rsidRDefault="00D636B0" w:rsidP="00937F4D">
      <w:pPr>
        <w:spacing w:line="276" w:lineRule="auto"/>
      </w:pPr>
    </w:p>
    <w:p w14:paraId="1AA54CA4" w14:textId="77777777" w:rsidR="003C5DC8" w:rsidRDefault="003C5DC8" w:rsidP="00937F4D">
      <w:pPr>
        <w:spacing w:line="276" w:lineRule="auto"/>
      </w:pPr>
    </w:p>
    <w:p w14:paraId="5279F569" w14:textId="77777777" w:rsidR="003C5DC8" w:rsidRDefault="003C5DC8" w:rsidP="00937F4D">
      <w:pPr>
        <w:spacing w:line="276" w:lineRule="auto"/>
      </w:pPr>
    </w:p>
    <w:p w14:paraId="2BC8A213" w14:textId="77777777" w:rsidR="00D636B0" w:rsidRDefault="00D636B0" w:rsidP="00937F4D">
      <w:pPr>
        <w:spacing w:line="276" w:lineRule="auto"/>
      </w:pPr>
    </w:p>
    <w:p w14:paraId="4AFE8014" w14:textId="77777777" w:rsidR="00D636B0" w:rsidRDefault="00D636B0" w:rsidP="00937F4D">
      <w:pPr>
        <w:spacing w:line="276" w:lineRule="auto"/>
      </w:pPr>
    </w:p>
    <w:p w14:paraId="20845C8E" w14:textId="77777777" w:rsidR="00D636B0" w:rsidRDefault="00D636B0" w:rsidP="00937F4D">
      <w:pPr>
        <w:spacing w:line="276" w:lineRule="auto"/>
      </w:pPr>
    </w:p>
    <w:p w14:paraId="10DF6C89" w14:textId="77777777" w:rsidR="00B84CD5" w:rsidRDefault="00B84CD5" w:rsidP="00937F4D">
      <w:pPr>
        <w:spacing w:line="276" w:lineRule="auto"/>
      </w:pPr>
    </w:p>
    <w:p w14:paraId="6653790B" w14:textId="77777777" w:rsidR="00B84CD5" w:rsidRDefault="00B84CD5" w:rsidP="00937F4D">
      <w:pPr>
        <w:spacing w:line="276" w:lineRule="auto"/>
      </w:pPr>
    </w:p>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170C4CB3" w14:textId="77777777" w:rsidTr="0024186A">
        <w:trPr>
          <w:trHeight w:val="283"/>
          <w:tblHeader/>
        </w:trPr>
        <w:tc>
          <w:tcPr>
            <w:tcW w:w="4110" w:type="dxa"/>
            <w:tcBorders>
              <w:top w:val="single" w:sz="4" w:space="0" w:color="auto"/>
              <w:left w:val="single" w:sz="4" w:space="0" w:color="auto"/>
              <w:bottom w:val="nil"/>
              <w:right w:val="nil"/>
            </w:tcBorders>
            <w:vAlign w:val="center"/>
          </w:tcPr>
          <w:p w14:paraId="2B577A75" w14:textId="77777777" w:rsidR="002D6CA8" w:rsidRPr="006C42D9" w:rsidRDefault="002D6CA8" w:rsidP="00937F4D">
            <w:pPr>
              <w:pStyle w:val="ListLevel1"/>
              <w:spacing w:before="0" w:after="0" w:line="276" w:lineRule="auto"/>
              <w:rPr>
                <w:rFonts w:ascii="Arial" w:hAnsi="Arial" w:cs="Arial"/>
                <w:sz w:val="24"/>
                <w:szCs w:val="24"/>
              </w:rPr>
            </w:pPr>
            <w:r w:rsidRPr="006C42D9">
              <w:rPr>
                <w:rFonts w:ascii="Arial" w:hAnsi="Arial" w:cs="Arial"/>
                <w:sz w:val="24"/>
                <w:szCs w:val="24"/>
              </w:rPr>
              <w:t>Document Control Information</w:t>
            </w:r>
          </w:p>
        </w:tc>
        <w:tc>
          <w:tcPr>
            <w:tcW w:w="4961" w:type="dxa"/>
            <w:tcBorders>
              <w:top w:val="single" w:sz="4" w:space="0" w:color="auto"/>
              <w:left w:val="nil"/>
              <w:bottom w:val="nil"/>
              <w:right w:val="single" w:sz="4" w:space="0" w:color="auto"/>
            </w:tcBorders>
            <w:vAlign w:val="center"/>
          </w:tcPr>
          <w:p w14:paraId="56019DB7" w14:textId="77777777" w:rsidR="002D6CA8" w:rsidRPr="006C42D9" w:rsidRDefault="002D6CA8" w:rsidP="00937F4D">
            <w:pPr>
              <w:pStyle w:val="ListLevel1"/>
              <w:spacing w:before="0" w:after="0" w:line="276" w:lineRule="auto"/>
              <w:rPr>
                <w:rFonts w:ascii="Arial" w:hAnsi="Arial" w:cs="Arial"/>
                <w:b w:val="0"/>
                <w:bCs w:val="0"/>
                <w:sz w:val="24"/>
                <w:szCs w:val="24"/>
              </w:rPr>
            </w:pPr>
          </w:p>
        </w:tc>
      </w:tr>
      <w:tr w:rsidR="002D6CA8" w:rsidRPr="00BA3F6E" w14:paraId="2C89E11B" w14:textId="77777777" w:rsidTr="0024186A">
        <w:trPr>
          <w:trHeight w:val="283"/>
        </w:trPr>
        <w:tc>
          <w:tcPr>
            <w:tcW w:w="4110" w:type="dxa"/>
            <w:tcBorders>
              <w:top w:val="single" w:sz="4" w:space="0" w:color="auto"/>
              <w:left w:val="single" w:sz="4" w:space="0" w:color="auto"/>
              <w:bottom w:val="nil"/>
              <w:right w:val="nil"/>
            </w:tcBorders>
            <w:vAlign w:val="center"/>
            <w:hideMark/>
          </w:tcPr>
          <w:p w14:paraId="4DE732FD"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Version control</w:t>
            </w:r>
          </w:p>
        </w:tc>
        <w:tc>
          <w:tcPr>
            <w:tcW w:w="4961" w:type="dxa"/>
            <w:tcBorders>
              <w:top w:val="single" w:sz="4" w:space="0" w:color="auto"/>
              <w:left w:val="nil"/>
              <w:bottom w:val="nil"/>
              <w:right w:val="single" w:sz="4" w:space="0" w:color="auto"/>
            </w:tcBorders>
            <w:vAlign w:val="center"/>
            <w:hideMark/>
          </w:tcPr>
          <w:p w14:paraId="399BE416" w14:textId="77777777" w:rsidR="002D6CA8" w:rsidRPr="006C42D9" w:rsidRDefault="002D6CA8" w:rsidP="00937F4D">
            <w:pPr>
              <w:pStyle w:val="ListLevel1"/>
              <w:spacing w:before="0" w:after="0" w:line="276" w:lineRule="auto"/>
              <w:rPr>
                <w:rFonts w:ascii="Arial" w:hAnsi="Arial" w:cs="Arial"/>
                <w:b w:val="0"/>
                <w:bCs w:val="0"/>
                <w:sz w:val="24"/>
                <w:szCs w:val="24"/>
              </w:rPr>
            </w:pPr>
          </w:p>
        </w:tc>
      </w:tr>
      <w:tr w:rsidR="002D6CA8" w:rsidRPr="00BA3F6E" w14:paraId="263D21D9" w14:textId="77777777" w:rsidTr="0024186A">
        <w:trPr>
          <w:trHeight w:val="283"/>
        </w:trPr>
        <w:tc>
          <w:tcPr>
            <w:tcW w:w="4110" w:type="dxa"/>
            <w:tcBorders>
              <w:top w:val="nil"/>
              <w:left w:val="single" w:sz="4" w:space="0" w:color="auto"/>
              <w:bottom w:val="nil"/>
              <w:right w:val="nil"/>
            </w:tcBorders>
            <w:vAlign w:val="center"/>
            <w:hideMark/>
          </w:tcPr>
          <w:p w14:paraId="408D9CBB"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 xml:space="preserve">Owned by: </w:t>
            </w:r>
          </w:p>
        </w:tc>
        <w:tc>
          <w:tcPr>
            <w:tcW w:w="4961" w:type="dxa"/>
            <w:tcBorders>
              <w:top w:val="nil"/>
              <w:left w:val="nil"/>
              <w:bottom w:val="nil"/>
              <w:right w:val="single" w:sz="4" w:space="0" w:color="auto"/>
            </w:tcBorders>
            <w:vAlign w:val="center"/>
            <w:hideMark/>
          </w:tcPr>
          <w:p w14:paraId="13C27632" w14:textId="47C54B38" w:rsidR="002D6CA8" w:rsidRPr="006C42D9" w:rsidRDefault="00C57B1B" w:rsidP="00937F4D">
            <w:pPr>
              <w:pStyle w:val="ListLevel1"/>
              <w:spacing w:before="0" w:after="0" w:line="276" w:lineRule="auto"/>
              <w:rPr>
                <w:rFonts w:ascii="Arial" w:hAnsi="Arial" w:cs="Arial"/>
                <w:b w:val="0"/>
                <w:bCs w:val="0"/>
                <w:sz w:val="24"/>
                <w:szCs w:val="24"/>
              </w:rPr>
            </w:pPr>
            <w:r w:rsidRPr="00C57B1B">
              <w:rPr>
                <w:rFonts w:ascii="Arial" w:hAnsi="Arial" w:cs="Arial"/>
                <w:b w:val="0"/>
                <w:bCs w:val="0"/>
                <w:sz w:val="24"/>
                <w:szCs w:val="24"/>
              </w:rPr>
              <w:t>Associate Pro Vice Chancellor (Student Success)</w:t>
            </w:r>
            <w:r>
              <w:rPr>
                <w:rFonts w:ascii="Arial" w:hAnsi="Arial" w:cs="Arial"/>
                <w:b w:val="0"/>
                <w:bCs w:val="0"/>
                <w:sz w:val="24"/>
                <w:szCs w:val="24"/>
              </w:rPr>
              <w:t xml:space="preserve"> (Interim)</w:t>
            </w:r>
          </w:p>
        </w:tc>
      </w:tr>
      <w:tr w:rsidR="002D6CA8" w:rsidRPr="00BA3F6E" w14:paraId="7F32CB12" w14:textId="77777777" w:rsidTr="0024186A">
        <w:trPr>
          <w:trHeight w:val="283"/>
        </w:trPr>
        <w:tc>
          <w:tcPr>
            <w:tcW w:w="4110" w:type="dxa"/>
            <w:tcBorders>
              <w:top w:val="nil"/>
              <w:left w:val="single" w:sz="4" w:space="0" w:color="auto"/>
              <w:bottom w:val="nil"/>
              <w:right w:val="nil"/>
            </w:tcBorders>
            <w:vAlign w:val="center"/>
            <w:hideMark/>
          </w:tcPr>
          <w:p w14:paraId="124858D4"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Latest amendment on:</w:t>
            </w:r>
          </w:p>
        </w:tc>
        <w:tc>
          <w:tcPr>
            <w:tcW w:w="4961" w:type="dxa"/>
            <w:tcBorders>
              <w:top w:val="nil"/>
              <w:left w:val="nil"/>
              <w:bottom w:val="nil"/>
              <w:right w:val="single" w:sz="4" w:space="0" w:color="auto"/>
            </w:tcBorders>
            <w:vAlign w:val="center"/>
            <w:hideMark/>
          </w:tcPr>
          <w:p w14:paraId="7C846C11" w14:textId="3F2FA1E8" w:rsidR="002D6CA8" w:rsidRPr="006C42D9" w:rsidRDefault="00E33A0A" w:rsidP="00937F4D">
            <w:pPr>
              <w:pStyle w:val="ListLevel1"/>
              <w:spacing w:before="0" w:after="0" w:line="276" w:lineRule="auto"/>
              <w:rPr>
                <w:rFonts w:ascii="Arial" w:hAnsi="Arial" w:cs="Arial"/>
                <w:b w:val="0"/>
                <w:bCs w:val="0"/>
                <w:sz w:val="24"/>
                <w:szCs w:val="24"/>
              </w:rPr>
            </w:pPr>
            <w:r>
              <w:rPr>
                <w:rFonts w:ascii="Arial" w:hAnsi="Arial" w:cs="Arial"/>
                <w:b w:val="0"/>
                <w:bCs w:val="0"/>
                <w:sz w:val="24"/>
                <w:szCs w:val="24"/>
              </w:rPr>
              <w:t xml:space="preserve">25 </w:t>
            </w:r>
            <w:r w:rsidR="006624E8">
              <w:rPr>
                <w:rFonts w:ascii="Arial" w:hAnsi="Arial" w:cs="Arial"/>
                <w:b w:val="0"/>
                <w:bCs w:val="0"/>
                <w:sz w:val="24"/>
                <w:szCs w:val="24"/>
              </w:rPr>
              <w:t xml:space="preserve">July </w:t>
            </w:r>
            <w:r w:rsidR="00C57345">
              <w:rPr>
                <w:rFonts w:ascii="Arial" w:hAnsi="Arial" w:cs="Arial"/>
                <w:b w:val="0"/>
                <w:bCs w:val="0"/>
                <w:sz w:val="24"/>
                <w:szCs w:val="24"/>
              </w:rPr>
              <w:t>2025</w:t>
            </w:r>
          </w:p>
        </w:tc>
      </w:tr>
      <w:tr w:rsidR="002D6CA8" w:rsidRPr="00BA3F6E" w14:paraId="17AE7E8F" w14:textId="77777777" w:rsidTr="0024186A">
        <w:trPr>
          <w:trHeight w:val="283"/>
        </w:trPr>
        <w:tc>
          <w:tcPr>
            <w:tcW w:w="4110" w:type="dxa"/>
            <w:tcBorders>
              <w:top w:val="nil"/>
              <w:left w:val="single" w:sz="4" w:space="0" w:color="auto"/>
              <w:bottom w:val="nil"/>
              <w:right w:val="nil"/>
            </w:tcBorders>
            <w:vAlign w:val="center"/>
            <w:hideMark/>
          </w:tcPr>
          <w:p w14:paraId="5AA57E54"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Approved by:</w:t>
            </w:r>
          </w:p>
        </w:tc>
        <w:tc>
          <w:tcPr>
            <w:tcW w:w="4961" w:type="dxa"/>
            <w:tcBorders>
              <w:top w:val="nil"/>
              <w:left w:val="nil"/>
              <w:bottom w:val="nil"/>
              <w:right w:val="single" w:sz="4" w:space="0" w:color="auto"/>
            </w:tcBorders>
            <w:vAlign w:val="center"/>
            <w:hideMark/>
          </w:tcPr>
          <w:p w14:paraId="19EC420C" w14:textId="4A672667" w:rsidR="002D6CA8" w:rsidRPr="006C42D9" w:rsidRDefault="00C57345" w:rsidP="00937F4D">
            <w:pPr>
              <w:pStyle w:val="ListLevel1"/>
              <w:spacing w:before="0" w:after="0" w:line="276" w:lineRule="auto"/>
              <w:rPr>
                <w:rFonts w:ascii="Arial" w:hAnsi="Arial" w:cs="Arial"/>
                <w:b w:val="0"/>
                <w:bCs w:val="0"/>
                <w:sz w:val="24"/>
                <w:szCs w:val="24"/>
              </w:rPr>
            </w:pPr>
            <w:r>
              <w:rPr>
                <w:rFonts w:ascii="Arial" w:hAnsi="Arial" w:cs="Arial"/>
                <w:b w:val="0"/>
                <w:bCs w:val="0"/>
                <w:sz w:val="24"/>
                <w:szCs w:val="24"/>
              </w:rPr>
              <w:t>Academic Board</w:t>
            </w:r>
          </w:p>
        </w:tc>
      </w:tr>
      <w:tr w:rsidR="002D6CA8" w:rsidRPr="00BA3F6E" w14:paraId="5EEE898D" w14:textId="77777777" w:rsidTr="0024186A">
        <w:trPr>
          <w:trHeight w:val="283"/>
        </w:trPr>
        <w:tc>
          <w:tcPr>
            <w:tcW w:w="4110" w:type="dxa"/>
            <w:tcBorders>
              <w:top w:val="nil"/>
              <w:left w:val="single" w:sz="4" w:space="0" w:color="auto"/>
              <w:bottom w:val="nil"/>
              <w:right w:val="nil"/>
            </w:tcBorders>
            <w:vAlign w:val="center"/>
          </w:tcPr>
          <w:p w14:paraId="1C39F045"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Approved on:</w:t>
            </w:r>
          </w:p>
        </w:tc>
        <w:tc>
          <w:tcPr>
            <w:tcW w:w="4961" w:type="dxa"/>
            <w:tcBorders>
              <w:top w:val="nil"/>
              <w:left w:val="nil"/>
              <w:bottom w:val="nil"/>
              <w:right w:val="single" w:sz="4" w:space="0" w:color="auto"/>
            </w:tcBorders>
            <w:vAlign w:val="center"/>
          </w:tcPr>
          <w:p w14:paraId="75C34302" w14:textId="48CFD8DF" w:rsidR="002D6CA8" w:rsidRPr="006C42D9" w:rsidRDefault="00E33A0A" w:rsidP="00937F4D">
            <w:pPr>
              <w:pStyle w:val="ListLevel1"/>
              <w:spacing w:before="0" w:after="0" w:line="276" w:lineRule="auto"/>
              <w:rPr>
                <w:rFonts w:ascii="Arial" w:hAnsi="Arial" w:cs="Arial"/>
                <w:b w:val="0"/>
                <w:bCs w:val="0"/>
                <w:sz w:val="24"/>
                <w:szCs w:val="24"/>
              </w:rPr>
            </w:pPr>
            <w:r>
              <w:rPr>
                <w:rFonts w:ascii="Arial" w:hAnsi="Arial" w:cs="Arial"/>
                <w:b w:val="0"/>
                <w:bCs w:val="0"/>
                <w:sz w:val="24"/>
                <w:szCs w:val="24"/>
              </w:rPr>
              <w:t>29 July 2025</w:t>
            </w:r>
          </w:p>
        </w:tc>
      </w:tr>
      <w:tr w:rsidR="002D6CA8" w:rsidRPr="00BA3F6E" w14:paraId="4B6A81C4" w14:textId="77777777" w:rsidTr="0024186A">
        <w:trPr>
          <w:trHeight w:val="283"/>
        </w:trPr>
        <w:tc>
          <w:tcPr>
            <w:tcW w:w="4110" w:type="dxa"/>
            <w:tcBorders>
              <w:top w:val="nil"/>
              <w:left w:val="single" w:sz="4" w:space="0" w:color="auto"/>
              <w:bottom w:val="nil"/>
              <w:right w:val="nil"/>
            </w:tcBorders>
            <w:vAlign w:val="center"/>
            <w:hideMark/>
          </w:tcPr>
          <w:p w14:paraId="001FE0BC"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Coming into effect on:</w:t>
            </w:r>
          </w:p>
        </w:tc>
        <w:tc>
          <w:tcPr>
            <w:tcW w:w="4961" w:type="dxa"/>
            <w:tcBorders>
              <w:top w:val="nil"/>
              <w:left w:val="nil"/>
              <w:bottom w:val="nil"/>
              <w:right w:val="single" w:sz="4" w:space="0" w:color="auto"/>
            </w:tcBorders>
            <w:vAlign w:val="center"/>
            <w:hideMark/>
          </w:tcPr>
          <w:p w14:paraId="61FD3F19" w14:textId="493C0778" w:rsidR="002D6CA8" w:rsidRPr="006C42D9" w:rsidRDefault="001C1EDC" w:rsidP="00937F4D">
            <w:pPr>
              <w:pStyle w:val="ListLevel1"/>
              <w:spacing w:before="0" w:after="0" w:line="276" w:lineRule="auto"/>
              <w:rPr>
                <w:rFonts w:ascii="Arial" w:hAnsi="Arial" w:cs="Arial"/>
                <w:b w:val="0"/>
                <w:bCs w:val="0"/>
                <w:sz w:val="24"/>
                <w:szCs w:val="24"/>
              </w:rPr>
            </w:pPr>
            <w:r>
              <w:rPr>
                <w:rFonts w:ascii="Arial" w:hAnsi="Arial" w:cs="Arial"/>
                <w:b w:val="0"/>
                <w:bCs w:val="0"/>
                <w:sz w:val="24"/>
                <w:szCs w:val="24"/>
              </w:rPr>
              <w:t xml:space="preserve">1 </w:t>
            </w:r>
            <w:r w:rsidR="00C57345">
              <w:rPr>
                <w:rFonts w:ascii="Arial" w:hAnsi="Arial" w:cs="Arial"/>
                <w:b w:val="0"/>
                <w:bCs w:val="0"/>
                <w:sz w:val="24"/>
                <w:szCs w:val="24"/>
              </w:rPr>
              <w:t>September 2025</w:t>
            </w:r>
          </w:p>
        </w:tc>
      </w:tr>
      <w:tr w:rsidR="002D6CA8" w:rsidRPr="00BA3F6E" w14:paraId="1BDD3416" w14:textId="77777777" w:rsidTr="0024186A">
        <w:trPr>
          <w:trHeight w:val="283"/>
        </w:trPr>
        <w:tc>
          <w:tcPr>
            <w:tcW w:w="4110" w:type="dxa"/>
            <w:tcBorders>
              <w:top w:val="nil"/>
              <w:left w:val="single" w:sz="4" w:space="0" w:color="auto"/>
              <w:bottom w:val="nil"/>
              <w:right w:val="nil"/>
            </w:tcBorders>
            <w:vAlign w:val="center"/>
            <w:hideMark/>
          </w:tcPr>
          <w:p w14:paraId="500122B4" w14:textId="77777777" w:rsidR="002D6CA8" w:rsidRPr="006C42D9" w:rsidRDefault="002D6CA8" w:rsidP="00937F4D">
            <w:pPr>
              <w:pStyle w:val="ListLevel1"/>
              <w:spacing w:before="0" w:after="0" w:line="276" w:lineRule="auto"/>
              <w:rPr>
                <w:rFonts w:ascii="Arial" w:hAnsi="Arial" w:cs="Arial"/>
                <w:b w:val="0"/>
                <w:bCs w:val="0"/>
                <w:sz w:val="24"/>
                <w:szCs w:val="24"/>
              </w:rPr>
            </w:pPr>
            <w:r w:rsidRPr="006C42D9">
              <w:rPr>
                <w:rFonts w:ascii="Arial" w:hAnsi="Arial" w:cs="Arial"/>
                <w:b w:val="0"/>
                <w:bCs w:val="0"/>
                <w:sz w:val="24"/>
                <w:szCs w:val="24"/>
              </w:rPr>
              <w:t>Review date:</w:t>
            </w:r>
          </w:p>
        </w:tc>
        <w:tc>
          <w:tcPr>
            <w:tcW w:w="4961" w:type="dxa"/>
            <w:tcBorders>
              <w:top w:val="nil"/>
              <w:left w:val="nil"/>
              <w:bottom w:val="nil"/>
              <w:right w:val="single" w:sz="4" w:space="0" w:color="auto"/>
            </w:tcBorders>
            <w:vAlign w:val="center"/>
            <w:hideMark/>
          </w:tcPr>
          <w:p w14:paraId="569D3FD0" w14:textId="506CD863" w:rsidR="002D6CA8" w:rsidRDefault="00C57345" w:rsidP="00937F4D">
            <w:pPr>
              <w:pStyle w:val="ListLevel1"/>
              <w:spacing w:before="0" w:after="0" w:line="276" w:lineRule="auto"/>
              <w:rPr>
                <w:rFonts w:ascii="Arial" w:hAnsi="Arial" w:cs="Arial"/>
                <w:b w:val="0"/>
                <w:bCs w:val="0"/>
                <w:sz w:val="24"/>
                <w:szCs w:val="24"/>
              </w:rPr>
            </w:pPr>
            <w:r>
              <w:rPr>
                <w:rFonts w:ascii="Arial" w:hAnsi="Arial" w:cs="Arial"/>
                <w:b w:val="0"/>
                <w:bCs w:val="0"/>
                <w:sz w:val="24"/>
                <w:szCs w:val="24"/>
              </w:rPr>
              <w:t>June 2026</w:t>
            </w:r>
          </w:p>
          <w:p w14:paraId="69A5E208" w14:textId="77777777" w:rsidR="00BB0FEB" w:rsidRPr="006C42D9" w:rsidRDefault="00BB0FEB" w:rsidP="00937F4D">
            <w:pPr>
              <w:pStyle w:val="ListLevel1"/>
              <w:spacing w:before="0" w:after="0" w:line="276" w:lineRule="auto"/>
              <w:rPr>
                <w:rFonts w:ascii="Arial" w:hAnsi="Arial" w:cs="Arial"/>
                <w:b w:val="0"/>
                <w:bCs w:val="0"/>
                <w:sz w:val="24"/>
                <w:szCs w:val="24"/>
              </w:rPr>
            </w:pPr>
          </w:p>
        </w:tc>
      </w:tr>
      <w:tr w:rsidR="00C57B1B" w:rsidRPr="00BA3F6E" w14:paraId="74272521" w14:textId="77777777" w:rsidTr="0024186A">
        <w:trPr>
          <w:trHeight w:val="283"/>
        </w:trPr>
        <w:tc>
          <w:tcPr>
            <w:tcW w:w="4110" w:type="dxa"/>
            <w:tcBorders>
              <w:top w:val="nil"/>
              <w:left w:val="single" w:sz="4" w:space="0" w:color="auto"/>
              <w:bottom w:val="nil"/>
              <w:right w:val="nil"/>
            </w:tcBorders>
            <w:vAlign w:val="center"/>
          </w:tcPr>
          <w:p w14:paraId="71B77051" w14:textId="77777777" w:rsidR="00C57B1B" w:rsidRPr="006C42D9" w:rsidRDefault="00C57B1B" w:rsidP="00937F4D">
            <w:pPr>
              <w:pStyle w:val="ListLevel1"/>
              <w:spacing w:before="0" w:after="0" w:line="276" w:lineRule="auto"/>
              <w:rPr>
                <w:rFonts w:ascii="Arial" w:hAnsi="Arial" w:cs="Arial"/>
                <w:b w:val="0"/>
                <w:bCs w:val="0"/>
                <w:sz w:val="24"/>
                <w:szCs w:val="24"/>
              </w:rPr>
            </w:pPr>
          </w:p>
        </w:tc>
        <w:tc>
          <w:tcPr>
            <w:tcW w:w="4961" w:type="dxa"/>
            <w:tcBorders>
              <w:top w:val="nil"/>
              <w:left w:val="nil"/>
              <w:bottom w:val="nil"/>
              <w:right w:val="single" w:sz="4" w:space="0" w:color="auto"/>
            </w:tcBorders>
            <w:vAlign w:val="center"/>
          </w:tcPr>
          <w:p w14:paraId="255CCCBD" w14:textId="77777777" w:rsidR="00C57B1B" w:rsidRDefault="00C57B1B" w:rsidP="00937F4D">
            <w:pPr>
              <w:pStyle w:val="ListLevel1"/>
              <w:spacing w:before="0" w:after="0" w:line="276" w:lineRule="auto"/>
              <w:rPr>
                <w:rFonts w:ascii="Arial" w:hAnsi="Arial" w:cs="Arial"/>
                <w:b w:val="0"/>
                <w:bCs w:val="0"/>
                <w:sz w:val="24"/>
                <w:szCs w:val="24"/>
              </w:rPr>
            </w:pPr>
          </w:p>
        </w:tc>
      </w:tr>
      <w:tr w:rsidR="00C57B1B" w:rsidRPr="00BA3F6E" w14:paraId="03075BFF" w14:textId="77777777" w:rsidTr="0024186A">
        <w:trPr>
          <w:trHeight w:val="283"/>
        </w:trPr>
        <w:tc>
          <w:tcPr>
            <w:tcW w:w="4110" w:type="dxa"/>
            <w:tcBorders>
              <w:top w:val="nil"/>
              <w:left w:val="single" w:sz="4" w:space="0" w:color="auto"/>
              <w:bottom w:val="single" w:sz="4" w:space="0" w:color="auto"/>
              <w:right w:val="nil"/>
            </w:tcBorders>
            <w:vAlign w:val="center"/>
          </w:tcPr>
          <w:p w14:paraId="2FF067D2" w14:textId="77777777" w:rsidR="00C57B1B" w:rsidRPr="006C42D9" w:rsidRDefault="00C57B1B" w:rsidP="00937F4D">
            <w:pPr>
              <w:pStyle w:val="ListLevel1"/>
              <w:spacing w:before="0" w:after="0" w:line="276" w:lineRule="auto"/>
              <w:rPr>
                <w:rFonts w:ascii="Arial" w:hAnsi="Arial" w:cs="Arial"/>
                <w:b w:val="0"/>
                <w:bCs w:val="0"/>
                <w:sz w:val="24"/>
                <w:szCs w:val="24"/>
              </w:rPr>
            </w:pPr>
          </w:p>
        </w:tc>
        <w:tc>
          <w:tcPr>
            <w:tcW w:w="4961" w:type="dxa"/>
            <w:tcBorders>
              <w:top w:val="nil"/>
              <w:left w:val="nil"/>
              <w:bottom w:val="single" w:sz="4" w:space="0" w:color="auto"/>
              <w:right w:val="single" w:sz="4" w:space="0" w:color="auto"/>
            </w:tcBorders>
            <w:vAlign w:val="center"/>
          </w:tcPr>
          <w:p w14:paraId="34CBA1B5" w14:textId="77777777" w:rsidR="00C57B1B" w:rsidRDefault="00C57B1B" w:rsidP="00937F4D">
            <w:pPr>
              <w:pStyle w:val="ListLevel1"/>
              <w:spacing w:before="0" w:after="0" w:line="276" w:lineRule="auto"/>
              <w:rPr>
                <w:rFonts w:ascii="Arial" w:hAnsi="Arial" w:cs="Arial"/>
                <w:b w:val="0"/>
                <w:bCs w:val="0"/>
                <w:sz w:val="24"/>
                <w:szCs w:val="24"/>
              </w:rPr>
            </w:pPr>
          </w:p>
        </w:tc>
      </w:tr>
    </w:tbl>
    <w:bookmarkStart w:id="2" w:name="_Toc139841768" w:displacedByCustomXml="next"/>
    <w:sdt>
      <w:sdtPr>
        <w:rPr>
          <w:rFonts w:asciiTheme="minorBidi" w:eastAsia="Times New Roman" w:hAnsiTheme="minorBidi" w:cstheme="minorBidi"/>
          <w:b/>
          <w:bCs/>
          <w:snapToGrid w:val="0"/>
          <w:color w:val="auto"/>
          <w:sz w:val="28"/>
          <w:szCs w:val="28"/>
          <w:lang w:val="en-GB"/>
        </w:rPr>
        <w:id w:val="-458947609"/>
        <w:docPartObj>
          <w:docPartGallery w:val="Table of Contents"/>
          <w:docPartUnique/>
        </w:docPartObj>
      </w:sdtPr>
      <w:sdtEndPr>
        <w:rPr>
          <w:rFonts w:ascii="Arial" w:hAnsi="Arial" w:cs="Arial"/>
          <w:sz w:val="24"/>
          <w:szCs w:val="20"/>
        </w:rPr>
      </w:sdtEndPr>
      <w:sdtContent>
        <w:p w14:paraId="2C48146D" w14:textId="04562B36" w:rsidR="00C57B1B" w:rsidRPr="00C57B1B" w:rsidRDefault="00C57B1B" w:rsidP="00937F4D">
          <w:pPr>
            <w:pStyle w:val="TOCHeading"/>
            <w:spacing w:line="276" w:lineRule="auto"/>
            <w:rPr>
              <w:rFonts w:asciiTheme="minorBidi" w:hAnsiTheme="minorBidi" w:cstheme="minorBidi"/>
              <w:b/>
              <w:bCs/>
              <w:color w:val="auto"/>
              <w:sz w:val="28"/>
              <w:szCs w:val="28"/>
            </w:rPr>
          </w:pPr>
          <w:r w:rsidRPr="00C57B1B">
            <w:rPr>
              <w:rFonts w:asciiTheme="minorBidi" w:hAnsiTheme="minorBidi" w:cstheme="minorBidi"/>
              <w:b/>
              <w:bCs/>
              <w:color w:val="auto"/>
              <w:sz w:val="28"/>
              <w:szCs w:val="28"/>
              <w:lang w:val="en-GB"/>
            </w:rPr>
            <w:t>Contents</w:t>
          </w:r>
        </w:p>
        <w:p w14:paraId="646150B6" w14:textId="05B30B89" w:rsidR="00EF1D8B" w:rsidRDefault="00C57B1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r>
            <w:fldChar w:fldCharType="begin"/>
          </w:r>
          <w:r>
            <w:instrText xml:space="preserve"> TOC \o "1-3" \h \z \u </w:instrText>
          </w:r>
          <w:r>
            <w:fldChar w:fldCharType="separate"/>
          </w:r>
          <w:hyperlink w:anchor="_Toc205310223" w:history="1">
            <w:r w:rsidR="00EF1D8B" w:rsidRPr="0008032B">
              <w:rPr>
                <w:rStyle w:val="Hyperlink"/>
                <w:noProof/>
              </w:rPr>
              <w:t>1.</w:t>
            </w:r>
            <w:r w:rsidR="00EF1D8B">
              <w:rPr>
                <w:rFonts w:asciiTheme="minorHAnsi" w:eastAsiaTheme="minorEastAsia" w:hAnsiTheme="minorHAnsi" w:cstheme="minorBidi"/>
                <w:noProof/>
                <w:snapToGrid/>
                <w:kern w:val="2"/>
                <w:szCs w:val="24"/>
                <w:lang w:eastAsia="en-GB"/>
                <w14:ligatures w14:val="standardContextual"/>
              </w:rPr>
              <w:tab/>
            </w:r>
            <w:r w:rsidR="00EF1D8B" w:rsidRPr="0008032B">
              <w:rPr>
                <w:rStyle w:val="Hyperlink"/>
                <w:noProof/>
              </w:rPr>
              <w:t>Purpose of the policy</w:t>
            </w:r>
            <w:r w:rsidR="00EF1D8B">
              <w:rPr>
                <w:noProof/>
                <w:webHidden/>
              </w:rPr>
              <w:tab/>
            </w:r>
            <w:r w:rsidR="00EF1D8B">
              <w:rPr>
                <w:noProof/>
                <w:webHidden/>
              </w:rPr>
              <w:fldChar w:fldCharType="begin"/>
            </w:r>
            <w:r w:rsidR="00EF1D8B">
              <w:rPr>
                <w:noProof/>
                <w:webHidden/>
              </w:rPr>
              <w:instrText xml:space="preserve"> PAGEREF _Toc205310223 \h </w:instrText>
            </w:r>
            <w:r w:rsidR="00EF1D8B">
              <w:rPr>
                <w:noProof/>
                <w:webHidden/>
              </w:rPr>
            </w:r>
            <w:r w:rsidR="00EF1D8B">
              <w:rPr>
                <w:noProof/>
                <w:webHidden/>
              </w:rPr>
              <w:fldChar w:fldCharType="separate"/>
            </w:r>
            <w:r w:rsidR="00052BD4">
              <w:rPr>
                <w:noProof/>
                <w:webHidden/>
              </w:rPr>
              <w:t>3</w:t>
            </w:r>
            <w:r w:rsidR="00EF1D8B">
              <w:rPr>
                <w:noProof/>
                <w:webHidden/>
              </w:rPr>
              <w:fldChar w:fldCharType="end"/>
            </w:r>
          </w:hyperlink>
        </w:p>
        <w:p w14:paraId="04624C0F" w14:textId="39682F2A"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4" w:history="1">
            <w:r w:rsidRPr="0008032B">
              <w:rPr>
                <w:rStyle w:val="Hyperlink"/>
                <w:noProof/>
              </w:rPr>
              <w:t>2.</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Introduction</w:t>
            </w:r>
            <w:r>
              <w:rPr>
                <w:noProof/>
                <w:webHidden/>
              </w:rPr>
              <w:tab/>
            </w:r>
            <w:r>
              <w:rPr>
                <w:noProof/>
                <w:webHidden/>
              </w:rPr>
              <w:fldChar w:fldCharType="begin"/>
            </w:r>
            <w:r>
              <w:rPr>
                <w:noProof/>
                <w:webHidden/>
              </w:rPr>
              <w:instrText xml:space="preserve"> PAGEREF _Toc205310224 \h </w:instrText>
            </w:r>
            <w:r>
              <w:rPr>
                <w:noProof/>
                <w:webHidden/>
              </w:rPr>
            </w:r>
            <w:r>
              <w:rPr>
                <w:noProof/>
                <w:webHidden/>
              </w:rPr>
              <w:fldChar w:fldCharType="separate"/>
            </w:r>
            <w:r w:rsidR="00052BD4">
              <w:rPr>
                <w:noProof/>
                <w:webHidden/>
              </w:rPr>
              <w:t>3</w:t>
            </w:r>
            <w:r>
              <w:rPr>
                <w:noProof/>
                <w:webHidden/>
              </w:rPr>
              <w:fldChar w:fldCharType="end"/>
            </w:r>
          </w:hyperlink>
        </w:p>
        <w:p w14:paraId="4A0C8B2E" w14:textId="34B33417"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5" w:history="1">
            <w:r w:rsidRPr="0008032B">
              <w:rPr>
                <w:rStyle w:val="Hyperlink"/>
                <w:noProof/>
              </w:rPr>
              <w:t>3.</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Capturing engagement</w:t>
            </w:r>
            <w:r>
              <w:rPr>
                <w:noProof/>
                <w:webHidden/>
              </w:rPr>
              <w:tab/>
            </w:r>
            <w:r>
              <w:rPr>
                <w:noProof/>
                <w:webHidden/>
              </w:rPr>
              <w:fldChar w:fldCharType="begin"/>
            </w:r>
            <w:r>
              <w:rPr>
                <w:noProof/>
                <w:webHidden/>
              </w:rPr>
              <w:instrText xml:space="preserve"> PAGEREF _Toc205310225 \h </w:instrText>
            </w:r>
            <w:r>
              <w:rPr>
                <w:noProof/>
                <w:webHidden/>
              </w:rPr>
            </w:r>
            <w:r>
              <w:rPr>
                <w:noProof/>
                <w:webHidden/>
              </w:rPr>
              <w:fldChar w:fldCharType="separate"/>
            </w:r>
            <w:r w:rsidR="00052BD4">
              <w:rPr>
                <w:noProof/>
                <w:webHidden/>
              </w:rPr>
              <w:t>3</w:t>
            </w:r>
            <w:r>
              <w:rPr>
                <w:noProof/>
                <w:webHidden/>
              </w:rPr>
              <w:fldChar w:fldCharType="end"/>
            </w:r>
          </w:hyperlink>
        </w:p>
        <w:p w14:paraId="5E44323C" w14:textId="7A6E9F57"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6" w:history="1">
            <w:r w:rsidRPr="0008032B">
              <w:rPr>
                <w:rStyle w:val="Hyperlink"/>
                <w:noProof/>
              </w:rPr>
              <w:t>4.</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Attendance</w:t>
            </w:r>
            <w:r>
              <w:rPr>
                <w:noProof/>
                <w:webHidden/>
              </w:rPr>
              <w:tab/>
            </w:r>
            <w:r>
              <w:rPr>
                <w:noProof/>
                <w:webHidden/>
              </w:rPr>
              <w:fldChar w:fldCharType="begin"/>
            </w:r>
            <w:r>
              <w:rPr>
                <w:noProof/>
                <w:webHidden/>
              </w:rPr>
              <w:instrText xml:space="preserve"> PAGEREF _Toc205310226 \h </w:instrText>
            </w:r>
            <w:r>
              <w:rPr>
                <w:noProof/>
                <w:webHidden/>
              </w:rPr>
            </w:r>
            <w:r>
              <w:rPr>
                <w:noProof/>
                <w:webHidden/>
              </w:rPr>
              <w:fldChar w:fldCharType="separate"/>
            </w:r>
            <w:r w:rsidR="00052BD4">
              <w:rPr>
                <w:noProof/>
                <w:webHidden/>
              </w:rPr>
              <w:t>4</w:t>
            </w:r>
            <w:r>
              <w:rPr>
                <w:noProof/>
                <w:webHidden/>
              </w:rPr>
              <w:fldChar w:fldCharType="end"/>
            </w:r>
          </w:hyperlink>
        </w:p>
        <w:p w14:paraId="79480F6B" w14:textId="03260617"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7" w:history="1">
            <w:r w:rsidRPr="0008032B">
              <w:rPr>
                <w:rStyle w:val="Hyperlink"/>
                <w:noProof/>
              </w:rPr>
              <w:t>5.</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Intervention where poor engagement is highlighted</w:t>
            </w:r>
            <w:r>
              <w:rPr>
                <w:noProof/>
                <w:webHidden/>
              </w:rPr>
              <w:tab/>
            </w:r>
            <w:r>
              <w:rPr>
                <w:noProof/>
                <w:webHidden/>
              </w:rPr>
              <w:fldChar w:fldCharType="begin"/>
            </w:r>
            <w:r>
              <w:rPr>
                <w:noProof/>
                <w:webHidden/>
              </w:rPr>
              <w:instrText xml:space="preserve"> PAGEREF _Toc205310227 \h </w:instrText>
            </w:r>
            <w:r>
              <w:rPr>
                <w:noProof/>
                <w:webHidden/>
              </w:rPr>
            </w:r>
            <w:r>
              <w:rPr>
                <w:noProof/>
                <w:webHidden/>
              </w:rPr>
              <w:fldChar w:fldCharType="separate"/>
            </w:r>
            <w:r w:rsidR="00052BD4">
              <w:rPr>
                <w:noProof/>
                <w:webHidden/>
              </w:rPr>
              <w:t>4</w:t>
            </w:r>
            <w:r>
              <w:rPr>
                <w:noProof/>
                <w:webHidden/>
              </w:rPr>
              <w:fldChar w:fldCharType="end"/>
            </w:r>
          </w:hyperlink>
        </w:p>
        <w:p w14:paraId="5C848417" w14:textId="79C6E2AB"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8" w:history="1">
            <w:r w:rsidRPr="0008032B">
              <w:rPr>
                <w:rStyle w:val="Hyperlink"/>
                <w:noProof/>
              </w:rPr>
              <w:t>6.</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Roles and responsibilities</w:t>
            </w:r>
            <w:r>
              <w:rPr>
                <w:noProof/>
                <w:webHidden/>
              </w:rPr>
              <w:tab/>
            </w:r>
            <w:r>
              <w:rPr>
                <w:noProof/>
                <w:webHidden/>
              </w:rPr>
              <w:fldChar w:fldCharType="begin"/>
            </w:r>
            <w:r>
              <w:rPr>
                <w:noProof/>
                <w:webHidden/>
              </w:rPr>
              <w:instrText xml:space="preserve"> PAGEREF _Toc205310228 \h </w:instrText>
            </w:r>
            <w:r>
              <w:rPr>
                <w:noProof/>
                <w:webHidden/>
              </w:rPr>
            </w:r>
            <w:r>
              <w:rPr>
                <w:noProof/>
                <w:webHidden/>
              </w:rPr>
              <w:fldChar w:fldCharType="separate"/>
            </w:r>
            <w:r w:rsidR="00052BD4">
              <w:rPr>
                <w:noProof/>
                <w:webHidden/>
              </w:rPr>
              <w:t>5</w:t>
            </w:r>
            <w:r>
              <w:rPr>
                <w:noProof/>
                <w:webHidden/>
              </w:rPr>
              <w:fldChar w:fldCharType="end"/>
            </w:r>
          </w:hyperlink>
        </w:p>
        <w:p w14:paraId="62CC48E2" w14:textId="5E0647B3"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29" w:history="1">
            <w:r w:rsidRPr="0008032B">
              <w:rPr>
                <w:rStyle w:val="Hyperlink"/>
                <w:noProof/>
              </w:rPr>
              <w:t>7.</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Engagement Processes</w:t>
            </w:r>
            <w:r>
              <w:rPr>
                <w:noProof/>
                <w:webHidden/>
              </w:rPr>
              <w:tab/>
            </w:r>
            <w:r>
              <w:rPr>
                <w:noProof/>
                <w:webHidden/>
              </w:rPr>
              <w:fldChar w:fldCharType="begin"/>
            </w:r>
            <w:r>
              <w:rPr>
                <w:noProof/>
                <w:webHidden/>
              </w:rPr>
              <w:instrText xml:space="preserve"> PAGEREF _Toc205310229 \h </w:instrText>
            </w:r>
            <w:r>
              <w:rPr>
                <w:noProof/>
                <w:webHidden/>
              </w:rPr>
            </w:r>
            <w:r>
              <w:rPr>
                <w:noProof/>
                <w:webHidden/>
              </w:rPr>
              <w:fldChar w:fldCharType="separate"/>
            </w:r>
            <w:r w:rsidR="00052BD4">
              <w:rPr>
                <w:noProof/>
                <w:webHidden/>
              </w:rPr>
              <w:t>6</w:t>
            </w:r>
            <w:r>
              <w:rPr>
                <w:noProof/>
                <w:webHidden/>
              </w:rPr>
              <w:fldChar w:fldCharType="end"/>
            </w:r>
          </w:hyperlink>
        </w:p>
        <w:p w14:paraId="521500D5" w14:textId="35D0FE2F" w:rsidR="00EF1D8B" w:rsidRDefault="00EF1D8B">
          <w:pPr>
            <w:pStyle w:val="TOC1"/>
            <w:tabs>
              <w:tab w:val="left" w:pos="720"/>
              <w:tab w:val="right" w:leader="dot" w:pos="9010"/>
            </w:tabs>
            <w:rPr>
              <w:rFonts w:asciiTheme="minorHAnsi" w:eastAsiaTheme="minorEastAsia" w:hAnsiTheme="minorHAnsi" w:cstheme="minorBidi"/>
              <w:noProof/>
              <w:snapToGrid/>
              <w:kern w:val="2"/>
              <w:szCs w:val="24"/>
              <w:lang w:eastAsia="en-GB"/>
              <w14:ligatures w14:val="standardContextual"/>
            </w:rPr>
          </w:pPr>
          <w:hyperlink w:anchor="_Toc205310230" w:history="1">
            <w:r w:rsidRPr="0008032B">
              <w:rPr>
                <w:rStyle w:val="Hyperlink"/>
                <w:noProof/>
              </w:rPr>
              <w:t>8.</w:t>
            </w:r>
            <w:r>
              <w:rPr>
                <w:rFonts w:asciiTheme="minorHAnsi" w:eastAsiaTheme="minorEastAsia" w:hAnsiTheme="minorHAnsi" w:cstheme="minorBidi"/>
                <w:noProof/>
                <w:snapToGrid/>
                <w:kern w:val="2"/>
                <w:szCs w:val="24"/>
                <w:lang w:eastAsia="en-GB"/>
                <w14:ligatures w14:val="standardContextual"/>
              </w:rPr>
              <w:tab/>
            </w:r>
            <w:r w:rsidRPr="0008032B">
              <w:rPr>
                <w:rStyle w:val="Hyperlink"/>
                <w:noProof/>
              </w:rPr>
              <w:t>Exemptions</w:t>
            </w:r>
            <w:r>
              <w:rPr>
                <w:noProof/>
                <w:webHidden/>
              </w:rPr>
              <w:tab/>
            </w:r>
            <w:r>
              <w:rPr>
                <w:noProof/>
                <w:webHidden/>
              </w:rPr>
              <w:fldChar w:fldCharType="begin"/>
            </w:r>
            <w:r>
              <w:rPr>
                <w:noProof/>
                <w:webHidden/>
              </w:rPr>
              <w:instrText xml:space="preserve"> PAGEREF _Toc205310230 \h </w:instrText>
            </w:r>
            <w:r>
              <w:rPr>
                <w:noProof/>
                <w:webHidden/>
              </w:rPr>
            </w:r>
            <w:r>
              <w:rPr>
                <w:noProof/>
                <w:webHidden/>
              </w:rPr>
              <w:fldChar w:fldCharType="separate"/>
            </w:r>
            <w:r w:rsidR="00052BD4">
              <w:rPr>
                <w:noProof/>
                <w:webHidden/>
              </w:rPr>
              <w:t>7</w:t>
            </w:r>
            <w:r>
              <w:rPr>
                <w:noProof/>
                <w:webHidden/>
              </w:rPr>
              <w:fldChar w:fldCharType="end"/>
            </w:r>
          </w:hyperlink>
        </w:p>
        <w:p w14:paraId="64445863" w14:textId="0ACDD974" w:rsidR="00C57B1B" w:rsidRDefault="00C57B1B" w:rsidP="00937F4D">
          <w:pPr>
            <w:spacing w:line="276" w:lineRule="auto"/>
          </w:pPr>
          <w:r>
            <w:rPr>
              <w:b/>
              <w:bCs/>
            </w:rPr>
            <w:fldChar w:fldCharType="end"/>
          </w:r>
        </w:p>
      </w:sdtContent>
    </w:sdt>
    <w:p w14:paraId="77257979" w14:textId="77777777" w:rsidR="00C57B1B" w:rsidRDefault="00C57B1B" w:rsidP="00937F4D">
      <w:pPr>
        <w:pStyle w:val="Heading1"/>
        <w:spacing w:line="276" w:lineRule="auto"/>
        <w:ind w:left="720"/>
      </w:pPr>
    </w:p>
    <w:p w14:paraId="1391A622" w14:textId="77777777" w:rsidR="00C57B1B" w:rsidRDefault="00C57B1B" w:rsidP="00937F4D">
      <w:pPr>
        <w:spacing w:line="276" w:lineRule="auto"/>
      </w:pPr>
    </w:p>
    <w:p w14:paraId="54DF5DFA" w14:textId="77777777" w:rsidR="00C57B1B" w:rsidRDefault="00C57B1B" w:rsidP="00937F4D">
      <w:pPr>
        <w:spacing w:line="276" w:lineRule="auto"/>
      </w:pPr>
    </w:p>
    <w:p w14:paraId="65CB923B" w14:textId="77777777" w:rsidR="00C57B1B" w:rsidRDefault="00C57B1B" w:rsidP="00937F4D">
      <w:pPr>
        <w:spacing w:line="276" w:lineRule="auto"/>
      </w:pPr>
    </w:p>
    <w:p w14:paraId="7D4CC7B3" w14:textId="77777777" w:rsidR="00C57B1B" w:rsidRDefault="00C57B1B" w:rsidP="00937F4D">
      <w:pPr>
        <w:spacing w:line="276" w:lineRule="auto"/>
      </w:pPr>
    </w:p>
    <w:p w14:paraId="5B3AD69E" w14:textId="77777777" w:rsidR="00C57B1B" w:rsidRDefault="00C57B1B" w:rsidP="00937F4D">
      <w:pPr>
        <w:spacing w:line="276" w:lineRule="auto"/>
      </w:pPr>
    </w:p>
    <w:p w14:paraId="21274938" w14:textId="77777777" w:rsidR="00C57B1B" w:rsidRDefault="00C57B1B" w:rsidP="00937F4D">
      <w:pPr>
        <w:spacing w:line="276" w:lineRule="auto"/>
      </w:pPr>
    </w:p>
    <w:p w14:paraId="153BDC19" w14:textId="77777777" w:rsidR="00C57B1B" w:rsidRDefault="00C57B1B" w:rsidP="00937F4D">
      <w:pPr>
        <w:spacing w:line="276" w:lineRule="auto"/>
      </w:pPr>
    </w:p>
    <w:p w14:paraId="655EC3FF" w14:textId="77777777" w:rsidR="00C57B1B" w:rsidRDefault="00C57B1B" w:rsidP="00937F4D">
      <w:pPr>
        <w:spacing w:line="276" w:lineRule="auto"/>
      </w:pPr>
    </w:p>
    <w:p w14:paraId="1BC0411D" w14:textId="77777777" w:rsidR="00C57B1B" w:rsidRDefault="00C57B1B" w:rsidP="00937F4D">
      <w:pPr>
        <w:spacing w:line="276" w:lineRule="auto"/>
      </w:pPr>
    </w:p>
    <w:p w14:paraId="355D7711" w14:textId="77777777" w:rsidR="00C57B1B" w:rsidRDefault="00C57B1B" w:rsidP="00937F4D">
      <w:pPr>
        <w:spacing w:line="276" w:lineRule="auto"/>
      </w:pPr>
    </w:p>
    <w:p w14:paraId="6854B024" w14:textId="77777777" w:rsidR="00C57B1B" w:rsidRDefault="00C57B1B" w:rsidP="00937F4D">
      <w:pPr>
        <w:spacing w:line="276" w:lineRule="auto"/>
      </w:pPr>
    </w:p>
    <w:p w14:paraId="6A2D141B" w14:textId="77777777" w:rsidR="00C57B1B" w:rsidRDefault="00C57B1B" w:rsidP="00937F4D">
      <w:pPr>
        <w:spacing w:line="276" w:lineRule="auto"/>
      </w:pPr>
    </w:p>
    <w:p w14:paraId="054CC183" w14:textId="77777777" w:rsidR="00C57B1B" w:rsidRDefault="00C57B1B" w:rsidP="00937F4D">
      <w:pPr>
        <w:spacing w:line="276" w:lineRule="auto"/>
      </w:pPr>
    </w:p>
    <w:p w14:paraId="1612BD81" w14:textId="77777777" w:rsidR="00C57B1B" w:rsidRDefault="00C57B1B" w:rsidP="00937F4D">
      <w:pPr>
        <w:spacing w:line="276" w:lineRule="auto"/>
      </w:pPr>
    </w:p>
    <w:p w14:paraId="66768DE5" w14:textId="77777777" w:rsidR="00C57B1B" w:rsidRDefault="00C57B1B" w:rsidP="00937F4D">
      <w:pPr>
        <w:spacing w:line="276" w:lineRule="auto"/>
      </w:pPr>
    </w:p>
    <w:p w14:paraId="282D93AA" w14:textId="77777777" w:rsidR="00C57B1B" w:rsidRDefault="00C57B1B" w:rsidP="00937F4D">
      <w:pPr>
        <w:spacing w:line="276" w:lineRule="auto"/>
      </w:pPr>
    </w:p>
    <w:p w14:paraId="06275777" w14:textId="77777777" w:rsidR="00C57B1B" w:rsidRDefault="00C57B1B" w:rsidP="00937F4D">
      <w:pPr>
        <w:spacing w:line="276" w:lineRule="auto"/>
      </w:pPr>
    </w:p>
    <w:p w14:paraId="47681E99" w14:textId="77777777" w:rsidR="00C57B1B" w:rsidRDefault="00C57B1B" w:rsidP="00937F4D">
      <w:pPr>
        <w:spacing w:line="276" w:lineRule="auto"/>
      </w:pPr>
    </w:p>
    <w:p w14:paraId="1689258C" w14:textId="77777777" w:rsidR="00C57B1B" w:rsidRDefault="00C57B1B" w:rsidP="00937F4D">
      <w:pPr>
        <w:spacing w:line="276" w:lineRule="auto"/>
      </w:pPr>
    </w:p>
    <w:p w14:paraId="06EED7F7" w14:textId="77777777" w:rsidR="00C57B1B" w:rsidRDefault="00C57B1B" w:rsidP="00937F4D">
      <w:pPr>
        <w:spacing w:line="276" w:lineRule="auto"/>
      </w:pPr>
    </w:p>
    <w:p w14:paraId="5097F74B" w14:textId="39591FA2" w:rsidR="00C57B1B" w:rsidRDefault="00052BD4" w:rsidP="00052BD4">
      <w:pPr>
        <w:widowControl/>
        <w:suppressAutoHyphens w:val="0"/>
      </w:pPr>
      <w:r>
        <w:br w:type="page"/>
      </w:r>
    </w:p>
    <w:p w14:paraId="6B7351A5" w14:textId="77777777" w:rsidR="00C57B1B" w:rsidRPr="00C57B1B" w:rsidRDefault="00C57B1B" w:rsidP="00937F4D">
      <w:pPr>
        <w:spacing w:line="276" w:lineRule="auto"/>
      </w:pPr>
    </w:p>
    <w:p w14:paraId="756AAD24" w14:textId="5D007F6E" w:rsidR="00C57B1B" w:rsidRDefault="00C57B1B" w:rsidP="00937F4D">
      <w:pPr>
        <w:pStyle w:val="Heading1"/>
        <w:numPr>
          <w:ilvl w:val="0"/>
          <w:numId w:val="3"/>
        </w:numPr>
        <w:spacing w:line="276" w:lineRule="auto"/>
      </w:pPr>
      <w:bookmarkStart w:id="3" w:name="_Toc205310223"/>
      <w:r>
        <w:t>Purpose of the policy</w:t>
      </w:r>
      <w:bookmarkEnd w:id="2"/>
      <w:bookmarkEnd w:id="3"/>
    </w:p>
    <w:p w14:paraId="23B189E7" w14:textId="77777777" w:rsidR="003C4DEB" w:rsidRPr="003C4DEB" w:rsidRDefault="003C4DEB" w:rsidP="00937F4D">
      <w:pPr>
        <w:spacing w:line="276" w:lineRule="auto"/>
      </w:pPr>
    </w:p>
    <w:p w14:paraId="7F7FC952" w14:textId="38D2A6A2" w:rsidR="00376490" w:rsidRDefault="00376490" w:rsidP="006624E8">
      <w:pPr>
        <w:pStyle w:val="ListParagraph"/>
        <w:numPr>
          <w:ilvl w:val="1"/>
          <w:numId w:val="3"/>
        </w:numPr>
      </w:pPr>
      <w:r>
        <w:t>As a publicly funded body, the University has responsibilities to external agencies to ensure that students are only shown as enrolled if they are still actively engaged with their studies.</w:t>
      </w:r>
      <w:r w:rsidR="00985C2A">
        <w:t xml:space="preserve"> </w:t>
      </w:r>
    </w:p>
    <w:p w14:paraId="18812662" w14:textId="24377B3E" w:rsidR="00C57B1B" w:rsidRDefault="00C57B1B" w:rsidP="00937F4D">
      <w:pPr>
        <w:pStyle w:val="ListParagraph"/>
        <w:numPr>
          <w:ilvl w:val="1"/>
          <w:numId w:val="3"/>
        </w:numPr>
        <w:spacing w:after="240" w:line="276" w:lineRule="auto"/>
      </w:pPr>
      <w:r>
        <w:t xml:space="preserve">The purpose of this document is to set out the policy and systems in place to monitor student engagement. </w:t>
      </w:r>
    </w:p>
    <w:p w14:paraId="2DAA2B16" w14:textId="77777777" w:rsidR="00C57B1B" w:rsidRDefault="00C57B1B" w:rsidP="00937F4D">
      <w:pPr>
        <w:pStyle w:val="ListParagraph"/>
        <w:numPr>
          <w:ilvl w:val="1"/>
          <w:numId w:val="3"/>
        </w:numPr>
        <w:spacing w:after="240" w:line="276" w:lineRule="auto"/>
      </w:pPr>
      <w:r>
        <w:t>It details how the University teams will monitor engagement, what interventions and support are in place where students are not engaging, and which department is responsible for these.</w:t>
      </w:r>
    </w:p>
    <w:p w14:paraId="2E107722" w14:textId="1379E03F" w:rsidR="009B1F69" w:rsidRDefault="003C06BF" w:rsidP="00937F4D">
      <w:pPr>
        <w:pStyle w:val="ListParagraph"/>
        <w:numPr>
          <w:ilvl w:val="1"/>
          <w:numId w:val="3"/>
        </w:numPr>
        <w:spacing w:after="240" w:line="276" w:lineRule="auto"/>
      </w:pPr>
      <w:r>
        <w:t>S</w:t>
      </w:r>
      <w:r w:rsidR="00B14E25">
        <w:t xml:space="preserve">tudents </w:t>
      </w:r>
      <w:r w:rsidR="00846F19">
        <w:t>enrolled on courses at our</w:t>
      </w:r>
      <w:r w:rsidR="00B14E25">
        <w:t xml:space="preserve"> </w:t>
      </w:r>
      <w:hyperlink r:id="rId11" w:history="1">
        <w:r w:rsidR="00B14E25" w:rsidRPr="003C06BF">
          <w:rPr>
            <w:rStyle w:val="Hyperlink"/>
          </w:rPr>
          <w:t>partner institutions</w:t>
        </w:r>
      </w:hyperlink>
      <w:r>
        <w:t xml:space="preserve">, should </w:t>
      </w:r>
      <w:r w:rsidR="00846F19">
        <w:t xml:space="preserve">adhere </w:t>
      </w:r>
      <w:r w:rsidR="00FF2FC4">
        <w:t xml:space="preserve">to </w:t>
      </w:r>
      <w:r w:rsidR="00FD0C2A">
        <w:t>their institution’s equivalent policy.</w:t>
      </w:r>
    </w:p>
    <w:p w14:paraId="7443A848" w14:textId="77777777" w:rsidR="00C57B1B" w:rsidRDefault="00C57B1B" w:rsidP="00937F4D">
      <w:pPr>
        <w:pStyle w:val="Heading1"/>
        <w:numPr>
          <w:ilvl w:val="0"/>
          <w:numId w:val="3"/>
        </w:numPr>
        <w:spacing w:line="276" w:lineRule="auto"/>
      </w:pPr>
      <w:bookmarkStart w:id="4" w:name="_Toc139841769"/>
      <w:bookmarkStart w:id="5" w:name="_Toc205310224"/>
      <w:r>
        <w:t>Introduction</w:t>
      </w:r>
      <w:bookmarkEnd w:id="4"/>
      <w:bookmarkEnd w:id="5"/>
    </w:p>
    <w:p w14:paraId="535A2CA8" w14:textId="77777777" w:rsidR="003C4DEB" w:rsidRPr="003C4DEB" w:rsidRDefault="003C4DEB" w:rsidP="00937F4D">
      <w:pPr>
        <w:spacing w:line="276" w:lineRule="auto"/>
      </w:pPr>
    </w:p>
    <w:p w14:paraId="629BC252" w14:textId="77777777" w:rsidR="00C57B1B" w:rsidRDefault="00C57B1B" w:rsidP="00937F4D">
      <w:pPr>
        <w:pStyle w:val="ListParagraph"/>
        <w:numPr>
          <w:ilvl w:val="1"/>
          <w:numId w:val="3"/>
        </w:numPr>
        <w:spacing w:after="240" w:line="276" w:lineRule="auto"/>
      </w:pPr>
      <w:r>
        <w:t>Student engagement is an important determinant of learning outcomes in higher education. Students who are engaged with their studies have an increased chance of continuation, on time progression, a stronger sense of belonging within the course and the University community and improved attainment outcomes.</w:t>
      </w:r>
    </w:p>
    <w:p w14:paraId="0C7AC0D9" w14:textId="77777777" w:rsidR="00C57B1B" w:rsidRDefault="00C57B1B" w:rsidP="00937F4D">
      <w:pPr>
        <w:pStyle w:val="ListParagraph"/>
        <w:numPr>
          <w:ilvl w:val="1"/>
          <w:numId w:val="3"/>
        </w:numPr>
        <w:spacing w:after="240" w:line="276" w:lineRule="auto"/>
      </w:pPr>
      <w:r>
        <w:t>Through a clear engagement monitoring system the University will be able to identify those students at risk of non-continuation and provide a range of support and interventions to reduce the numbers of students who do not achieve their full potential.</w:t>
      </w:r>
    </w:p>
    <w:p w14:paraId="5C44FE60" w14:textId="77777777" w:rsidR="00C57B1B" w:rsidRDefault="00C57B1B" w:rsidP="00937F4D">
      <w:pPr>
        <w:pStyle w:val="ListParagraph"/>
        <w:numPr>
          <w:ilvl w:val="1"/>
          <w:numId w:val="3"/>
        </w:numPr>
        <w:spacing w:after="240" w:line="276" w:lineRule="auto"/>
      </w:pPr>
      <w:r>
        <w:t>What does the University mean by ‘engagement’? It is an expectation that students will;</w:t>
      </w:r>
    </w:p>
    <w:p w14:paraId="5DDF95E5" w14:textId="192661AF" w:rsidR="00C57B1B" w:rsidRDefault="00C57B1B" w:rsidP="00937F4D">
      <w:pPr>
        <w:pStyle w:val="ListParagraph"/>
        <w:numPr>
          <w:ilvl w:val="2"/>
          <w:numId w:val="3"/>
        </w:numPr>
        <w:spacing w:after="240" w:line="276" w:lineRule="auto"/>
      </w:pPr>
      <w:r>
        <w:t>attend and actively participate in all timetabled sessions</w:t>
      </w:r>
      <w:r w:rsidR="003F6364">
        <w:t>,</w:t>
      </w:r>
      <w:r>
        <w:t xml:space="preserve"> other activities </w:t>
      </w:r>
      <w:r w:rsidR="003F6364">
        <w:t>(</w:t>
      </w:r>
      <w:r>
        <w:t>on site and those delivered online</w:t>
      </w:r>
      <w:r w:rsidR="003F6364">
        <w:t>)</w:t>
      </w:r>
      <w:r>
        <w:t>, and any placement obligations relating to their course.</w:t>
      </w:r>
    </w:p>
    <w:p w14:paraId="6586570B" w14:textId="77777777" w:rsidR="00C57B1B" w:rsidRDefault="00C57B1B" w:rsidP="00937F4D">
      <w:pPr>
        <w:pStyle w:val="ListParagraph"/>
        <w:numPr>
          <w:ilvl w:val="2"/>
          <w:numId w:val="3"/>
        </w:numPr>
        <w:spacing w:after="240" w:line="276" w:lineRule="auto"/>
      </w:pPr>
      <w:r>
        <w:t>engage with the support and information regarding teaching and learning and University life.</w:t>
      </w:r>
    </w:p>
    <w:p w14:paraId="6DC62D91" w14:textId="77777777" w:rsidR="00C57B1B" w:rsidRDefault="00C57B1B" w:rsidP="00937F4D">
      <w:pPr>
        <w:pStyle w:val="ListParagraph"/>
        <w:numPr>
          <w:ilvl w:val="2"/>
          <w:numId w:val="3"/>
        </w:numPr>
        <w:spacing w:after="240" w:line="276" w:lineRule="auto"/>
      </w:pPr>
      <w:r>
        <w:t>ensure timely engagement with all assessments.</w:t>
      </w:r>
    </w:p>
    <w:p w14:paraId="66CEF515" w14:textId="095E2522" w:rsidR="00C57B1B" w:rsidRDefault="00C57B1B" w:rsidP="002866D3">
      <w:pPr>
        <w:pStyle w:val="ListParagraph"/>
        <w:numPr>
          <w:ilvl w:val="2"/>
          <w:numId w:val="3"/>
        </w:numPr>
        <w:spacing w:after="240" w:line="276" w:lineRule="auto"/>
      </w:pPr>
      <w:r>
        <w:t>make appropriate use of Weblearn,</w:t>
      </w:r>
      <w:r w:rsidR="002866D3">
        <w:t xml:space="preserve"> </w:t>
      </w:r>
      <w:r>
        <w:t>e-books and e-materials, and other course specific IT.</w:t>
      </w:r>
    </w:p>
    <w:p w14:paraId="2C9D0591" w14:textId="77777777" w:rsidR="00C57B1B" w:rsidRDefault="00C57B1B" w:rsidP="00937F4D">
      <w:pPr>
        <w:pStyle w:val="ListParagraph"/>
        <w:numPr>
          <w:ilvl w:val="2"/>
          <w:numId w:val="3"/>
        </w:numPr>
        <w:spacing w:after="240" w:line="276" w:lineRule="auto"/>
      </w:pPr>
      <w:r>
        <w:t>respond to all University communication in a timely manner and ensure that they maintain up to date contact details.</w:t>
      </w:r>
    </w:p>
    <w:p w14:paraId="1EEB4479" w14:textId="77777777" w:rsidR="00C57B1B" w:rsidRDefault="00C57B1B" w:rsidP="00937F4D">
      <w:pPr>
        <w:pStyle w:val="Heading1"/>
        <w:numPr>
          <w:ilvl w:val="0"/>
          <w:numId w:val="3"/>
        </w:numPr>
        <w:spacing w:line="276" w:lineRule="auto"/>
      </w:pPr>
      <w:bookmarkStart w:id="6" w:name="_Toc139841770"/>
      <w:bookmarkStart w:id="7" w:name="_Toc205310225"/>
      <w:r>
        <w:t>Capturing engagement</w:t>
      </w:r>
      <w:bookmarkEnd w:id="6"/>
      <w:bookmarkEnd w:id="7"/>
    </w:p>
    <w:p w14:paraId="74A0FCE3" w14:textId="77777777" w:rsidR="003C4DEB" w:rsidRPr="003C4DEB" w:rsidRDefault="003C4DEB" w:rsidP="00937F4D">
      <w:pPr>
        <w:spacing w:line="276" w:lineRule="auto"/>
      </w:pPr>
    </w:p>
    <w:p w14:paraId="42AEA3A8" w14:textId="77777777" w:rsidR="00C57B1B" w:rsidRDefault="00C57B1B" w:rsidP="00937F4D">
      <w:pPr>
        <w:pStyle w:val="ListParagraph"/>
        <w:numPr>
          <w:ilvl w:val="1"/>
          <w:numId w:val="3"/>
        </w:numPr>
        <w:spacing w:after="240" w:line="276" w:lineRule="auto"/>
      </w:pPr>
      <w:r>
        <w:t>The University will use a wide range of data footprints to track engagement, these include but are not limited to:</w:t>
      </w:r>
    </w:p>
    <w:p w14:paraId="40C94BBB" w14:textId="21AC521F" w:rsidR="00C57B1B" w:rsidRDefault="00C57B1B" w:rsidP="00937F4D">
      <w:pPr>
        <w:pStyle w:val="ListParagraph"/>
        <w:numPr>
          <w:ilvl w:val="2"/>
          <w:numId w:val="3"/>
        </w:numPr>
        <w:spacing w:after="240" w:line="276" w:lineRule="auto"/>
      </w:pPr>
      <w:r>
        <w:t xml:space="preserve">Attendance </w:t>
      </w:r>
      <w:r w:rsidR="00AC3536">
        <w:t>at timetabled sessions</w:t>
      </w:r>
      <w:r w:rsidR="004016A0">
        <w:t xml:space="preserve"> captured using the attendance monitoring system</w:t>
      </w:r>
    </w:p>
    <w:p w14:paraId="056B2DC3" w14:textId="26405C6A" w:rsidR="00C57B1B" w:rsidRDefault="00EF1D8B" w:rsidP="00937F4D">
      <w:pPr>
        <w:pStyle w:val="ListParagraph"/>
        <w:numPr>
          <w:ilvl w:val="2"/>
          <w:numId w:val="3"/>
        </w:numPr>
        <w:spacing w:after="240" w:line="276" w:lineRule="auto"/>
      </w:pPr>
      <w:r>
        <w:lastRenderedPageBreak/>
        <w:t>Weblearn</w:t>
      </w:r>
      <w:r w:rsidR="00C57B1B">
        <w:t xml:space="preserve"> engagement including, but not limited to;</w:t>
      </w:r>
    </w:p>
    <w:p w14:paraId="7BC749BC" w14:textId="77777777" w:rsidR="00C57B1B" w:rsidRDefault="00C57B1B" w:rsidP="00937F4D">
      <w:pPr>
        <w:pStyle w:val="ListParagraph"/>
        <w:numPr>
          <w:ilvl w:val="3"/>
          <w:numId w:val="5"/>
        </w:numPr>
        <w:spacing w:after="240" w:line="276" w:lineRule="auto"/>
      </w:pPr>
      <w:r>
        <w:t xml:space="preserve">Number of logins </w:t>
      </w:r>
    </w:p>
    <w:p w14:paraId="27649E78" w14:textId="77777777" w:rsidR="00C57B1B" w:rsidRDefault="00C57B1B" w:rsidP="00937F4D">
      <w:pPr>
        <w:pStyle w:val="ListParagraph"/>
        <w:numPr>
          <w:ilvl w:val="3"/>
          <w:numId w:val="5"/>
        </w:numPr>
        <w:spacing w:after="240" w:line="276" w:lineRule="auto"/>
      </w:pPr>
      <w:r>
        <w:t>The number of minutes spent online</w:t>
      </w:r>
    </w:p>
    <w:p w14:paraId="5A202E18" w14:textId="2B61B30B" w:rsidR="00C57B1B" w:rsidRDefault="00EF1D8B" w:rsidP="00937F4D">
      <w:pPr>
        <w:pStyle w:val="ListParagraph"/>
        <w:numPr>
          <w:ilvl w:val="3"/>
          <w:numId w:val="5"/>
        </w:numPr>
        <w:spacing w:after="240" w:line="276" w:lineRule="auto"/>
      </w:pPr>
      <w:r>
        <w:t>Weblearn</w:t>
      </w:r>
      <w:r w:rsidR="00C57B1B">
        <w:t xml:space="preserve"> submissions </w:t>
      </w:r>
    </w:p>
    <w:p w14:paraId="1F953A05" w14:textId="77777777" w:rsidR="00C57B1B" w:rsidRDefault="00C57B1B" w:rsidP="00937F4D">
      <w:pPr>
        <w:pStyle w:val="ListParagraph"/>
        <w:numPr>
          <w:ilvl w:val="2"/>
          <w:numId w:val="3"/>
        </w:numPr>
        <w:spacing w:after="240" w:line="276" w:lineRule="auto"/>
      </w:pPr>
      <w:r>
        <w:t>Engagement with Welcome Week and other start of year activities.</w:t>
      </w:r>
    </w:p>
    <w:p w14:paraId="3ADF897D" w14:textId="77777777" w:rsidR="00C57B1B" w:rsidRDefault="00C57B1B" w:rsidP="00937F4D">
      <w:pPr>
        <w:pStyle w:val="ListParagraph"/>
        <w:numPr>
          <w:ilvl w:val="2"/>
          <w:numId w:val="3"/>
        </w:numPr>
        <w:spacing w:after="240" w:line="276" w:lineRule="auto"/>
      </w:pPr>
      <w:r>
        <w:t>Module results from SITS</w:t>
      </w:r>
    </w:p>
    <w:p w14:paraId="1E18BDA4" w14:textId="77777777" w:rsidR="00C57B1B" w:rsidRDefault="00C57B1B" w:rsidP="00937F4D">
      <w:pPr>
        <w:pStyle w:val="ListParagraph"/>
        <w:numPr>
          <w:ilvl w:val="2"/>
          <w:numId w:val="3"/>
        </w:numPr>
        <w:spacing w:after="240" w:line="276" w:lineRule="auto"/>
      </w:pPr>
      <w:r>
        <w:t>On campus activity measured by swipe access onto the campus.</w:t>
      </w:r>
    </w:p>
    <w:p w14:paraId="69806A97" w14:textId="77777777" w:rsidR="00C57B1B" w:rsidRDefault="00C57B1B" w:rsidP="00937F4D">
      <w:pPr>
        <w:pStyle w:val="ListParagraph"/>
        <w:numPr>
          <w:ilvl w:val="1"/>
          <w:numId w:val="3"/>
        </w:numPr>
        <w:spacing w:after="240" w:line="276" w:lineRule="auto"/>
      </w:pPr>
      <w:r>
        <w:t xml:space="preserve">The data will highlight students’ levels of engagement and as a result, those who are at risk of non-engagement and/or who might require further support. </w:t>
      </w:r>
    </w:p>
    <w:p w14:paraId="40EDB33D" w14:textId="710C7AE1" w:rsidR="00A825B8" w:rsidRDefault="00C57B1B" w:rsidP="00937F4D">
      <w:pPr>
        <w:pStyle w:val="Heading1"/>
        <w:numPr>
          <w:ilvl w:val="0"/>
          <w:numId w:val="3"/>
        </w:numPr>
        <w:spacing w:line="276" w:lineRule="auto"/>
      </w:pPr>
      <w:bookmarkStart w:id="8" w:name="_Toc139841771"/>
      <w:bookmarkStart w:id="9" w:name="_Toc205310226"/>
      <w:r>
        <w:t>A</w:t>
      </w:r>
      <w:bookmarkEnd w:id="8"/>
      <w:r w:rsidR="00A20648">
        <w:t>ttendance</w:t>
      </w:r>
      <w:bookmarkEnd w:id="9"/>
      <w:r w:rsidR="00EA0484">
        <w:br/>
      </w:r>
    </w:p>
    <w:p w14:paraId="7BBD357E" w14:textId="77777777" w:rsidR="00984A41" w:rsidRDefault="001A133A" w:rsidP="00984A41">
      <w:pPr>
        <w:pStyle w:val="ListParagraph"/>
        <w:numPr>
          <w:ilvl w:val="1"/>
          <w:numId w:val="3"/>
        </w:numPr>
        <w:spacing w:line="276" w:lineRule="auto"/>
      </w:pPr>
      <w:r>
        <w:t>T</w:t>
      </w:r>
      <w:r w:rsidR="00043197">
        <w:t xml:space="preserve">he attendance monitoring system </w:t>
      </w:r>
      <w:r w:rsidR="00127E27">
        <w:t xml:space="preserve">is used </w:t>
      </w:r>
      <w:r w:rsidR="00043197">
        <w:t>to record attendance for timetabled sessions</w:t>
      </w:r>
      <w:r w:rsidR="00731674">
        <w:t>,</w:t>
      </w:r>
      <w:r w:rsidR="7C4D9D17">
        <w:t xml:space="preserve"> </w:t>
      </w:r>
      <w:r w:rsidR="00FD420B">
        <w:t xml:space="preserve">as well as </w:t>
      </w:r>
      <w:r w:rsidR="00FD420B" w:rsidRPr="00FD420B">
        <w:t>supervision for dissertations, research activities, and project work.</w:t>
      </w:r>
    </w:p>
    <w:p w14:paraId="2C32AEE9" w14:textId="77777777" w:rsidR="00E22C47" w:rsidRDefault="00B669ED" w:rsidP="00E22C47">
      <w:pPr>
        <w:pStyle w:val="ListParagraph"/>
        <w:numPr>
          <w:ilvl w:val="1"/>
          <w:numId w:val="3"/>
        </w:numPr>
        <w:spacing w:line="276" w:lineRule="auto"/>
      </w:pPr>
      <w:r>
        <w:t>Students</w:t>
      </w:r>
      <w:r w:rsidR="00A825B8">
        <w:t xml:space="preserve"> are expected to attend all timetabled sessions specified for </w:t>
      </w:r>
      <w:r>
        <w:t>their</w:t>
      </w:r>
      <w:r w:rsidR="00A825B8">
        <w:t xml:space="preserve">  programme of study, including all lectures, tutorials, seminars etc. If </w:t>
      </w:r>
      <w:r>
        <w:t>a student</w:t>
      </w:r>
      <w:r w:rsidR="00A825B8">
        <w:t xml:space="preserve"> </w:t>
      </w:r>
      <w:r>
        <w:t>is</w:t>
      </w:r>
      <w:r w:rsidR="00A825B8">
        <w:t xml:space="preserve"> not able to attend, </w:t>
      </w:r>
      <w:r>
        <w:t>they</w:t>
      </w:r>
      <w:r w:rsidR="00A825B8">
        <w:t xml:space="preserve"> will need to </w:t>
      </w:r>
      <w:r w:rsidR="00DA1AEF">
        <w:t>notify</w:t>
      </w:r>
      <w:r w:rsidR="00B253BC">
        <w:t xml:space="preserve"> their Course Leader</w:t>
      </w:r>
      <w:r w:rsidR="00702860">
        <w:t xml:space="preserve"> </w:t>
      </w:r>
      <w:r w:rsidR="15191AE6">
        <w:t>and class tutor</w:t>
      </w:r>
      <w:r w:rsidR="00BD44F9">
        <w:t>, and the International Support and Compliance Team if on a Student visa,</w:t>
      </w:r>
      <w:r w:rsidR="00702860">
        <w:t xml:space="preserve"> </w:t>
      </w:r>
      <w:r w:rsidR="41C22119">
        <w:t xml:space="preserve">via </w:t>
      </w:r>
      <w:r w:rsidR="00702860">
        <w:t xml:space="preserve">the </w:t>
      </w:r>
      <w:hyperlink r:id="rId12" w:history="1">
        <w:r w:rsidR="00702860" w:rsidRPr="00BC57EB">
          <w:rPr>
            <w:rStyle w:val="Hyperlink"/>
          </w:rPr>
          <w:t>student absence notification procedure</w:t>
        </w:r>
      </w:hyperlink>
      <w:r w:rsidR="00A825B8">
        <w:t xml:space="preserve">. </w:t>
      </w:r>
      <w:r w:rsidR="73365250">
        <w:t xml:space="preserve">Students are expected to miss no more than </w:t>
      </w:r>
      <w:r w:rsidR="007ACC77">
        <w:t>two weeks</w:t>
      </w:r>
      <w:r w:rsidR="73365250">
        <w:t xml:space="preserve"> of teaching per semester</w:t>
      </w:r>
      <w:r w:rsidR="69A793CD">
        <w:t xml:space="preserve">. For absences exceeding </w:t>
      </w:r>
      <w:r w:rsidR="5E6C0E6A">
        <w:t>thi</w:t>
      </w:r>
      <w:r w:rsidR="71E75FE6">
        <w:t>s</w:t>
      </w:r>
      <w:r w:rsidR="162D05A5">
        <w:t xml:space="preserve">, the University may contact the student </w:t>
      </w:r>
      <w:r w:rsidR="7EDB3751">
        <w:t xml:space="preserve">to </w:t>
      </w:r>
      <w:r w:rsidR="5FD73E33">
        <w:t>offer support</w:t>
      </w:r>
      <w:r w:rsidR="5EFFBF71">
        <w:t xml:space="preserve"> to </w:t>
      </w:r>
      <w:r w:rsidR="6F19F446">
        <w:t>re-engage with their studies</w:t>
      </w:r>
      <w:r w:rsidR="4D6B4A90">
        <w:t xml:space="preserve"> (see section 5)</w:t>
      </w:r>
      <w:r w:rsidR="6F19F446">
        <w:t>. I</w:t>
      </w:r>
      <w:r w:rsidR="18D6C551">
        <w:t>n</w:t>
      </w:r>
      <w:r w:rsidR="6F19F446">
        <w:t xml:space="preserve"> some </w:t>
      </w:r>
      <w:r w:rsidR="006C268D">
        <w:t>instances</w:t>
      </w:r>
      <w:r w:rsidR="69A793CD">
        <w:t xml:space="preserve"> </w:t>
      </w:r>
      <w:r w:rsidR="7E85FD1A">
        <w:t>they</w:t>
      </w:r>
      <w:r w:rsidR="69A793CD">
        <w:t xml:space="preserve"> may be advised to take a break from studies</w:t>
      </w:r>
      <w:r w:rsidR="5021D0B9">
        <w:t xml:space="preserve"> (see section </w:t>
      </w:r>
      <w:r w:rsidR="003F76E4">
        <w:t>4</w:t>
      </w:r>
      <w:r w:rsidR="5021D0B9">
        <w:t xml:space="preserve"> of the </w:t>
      </w:r>
      <w:hyperlink r:id="rId13" w:history="1">
        <w:r w:rsidR="5021D0B9" w:rsidRPr="00CB1A3A">
          <w:rPr>
            <w:rStyle w:val="Hyperlink"/>
          </w:rPr>
          <w:t>Academic Regulations</w:t>
        </w:r>
      </w:hyperlink>
      <w:r w:rsidR="5021D0B9">
        <w:t>)</w:t>
      </w:r>
      <w:r w:rsidR="1F8B8332">
        <w:t xml:space="preserve">. </w:t>
      </w:r>
      <w:r w:rsidR="4BB1075E">
        <w:t>If a student's</w:t>
      </w:r>
      <w:r w:rsidR="1F8B8332">
        <w:t xml:space="preserve"> absence </w:t>
      </w:r>
      <w:r w:rsidR="4BB1075E">
        <w:t>exceeds the level considered</w:t>
      </w:r>
      <w:r w:rsidR="75E69EF4">
        <w:t xml:space="preserve"> acceptable</w:t>
      </w:r>
      <w:r w:rsidR="4BB1075E">
        <w:t xml:space="preserve"> by their School</w:t>
      </w:r>
      <w:r w:rsidR="75E69EF4">
        <w:t xml:space="preserve"> </w:t>
      </w:r>
      <w:r w:rsidR="4E7C9478">
        <w:t xml:space="preserve">for </w:t>
      </w:r>
      <w:r w:rsidR="4BB1075E">
        <w:t>adequate participation in</w:t>
      </w:r>
      <w:r w:rsidR="6C2FC6F0">
        <w:t xml:space="preserve"> the course</w:t>
      </w:r>
      <w:r w:rsidR="1F8B8332">
        <w:t xml:space="preserve">, the University may </w:t>
      </w:r>
      <w:r w:rsidR="4BB1075E">
        <w:t>take steps</w:t>
      </w:r>
      <w:r w:rsidR="1F8B8332">
        <w:t xml:space="preserve"> to terminate </w:t>
      </w:r>
      <w:r w:rsidR="4BB1075E">
        <w:t xml:space="preserve">their </w:t>
      </w:r>
      <w:r w:rsidR="1F8B8332">
        <w:t>registration</w:t>
      </w:r>
      <w:r w:rsidR="005E7117">
        <w:t xml:space="preserve"> (see section 4 </w:t>
      </w:r>
      <w:r w:rsidR="1C34D8EF">
        <w:t xml:space="preserve">of the </w:t>
      </w:r>
      <w:hyperlink r:id="rId14" w:history="1">
        <w:r w:rsidR="1C34D8EF" w:rsidRPr="005E7117">
          <w:rPr>
            <w:rStyle w:val="Hyperlink"/>
          </w:rPr>
          <w:t>Academic Regulations</w:t>
        </w:r>
      </w:hyperlink>
      <w:r w:rsidR="60FD0828">
        <w:t>)</w:t>
      </w:r>
      <w:r w:rsidR="230CAFD6">
        <w:t>.</w:t>
      </w:r>
    </w:p>
    <w:p w14:paraId="2B0A073E" w14:textId="5D7FFAC3" w:rsidR="3EFEF584" w:rsidRPr="00E22C47" w:rsidRDefault="00E22C47" w:rsidP="00E22C47">
      <w:pPr>
        <w:pStyle w:val="ListParagraph"/>
        <w:numPr>
          <w:ilvl w:val="1"/>
          <w:numId w:val="3"/>
        </w:numPr>
        <w:spacing w:line="276" w:lineRule="auto"/>
      </w:pPr>
      <w:r>
        <w:rPr>
          <w:szCs w:val="24"/>
        </w:rPr>
        <w:t>E</w:t>
      </w:r>
      <w:r w:rsidR="3EFEF584" w:rsidRPr="00E22C47">
        <w:rPr>
          <w:szCs w:val="24"/>
        </w:rPr>
        <w:t>xceptions may apply in certain cases, such as specific course structures</w:t>
      </w:r>
      <w:r w:rsidR="00612B1A" w:rsidRPr="00E22C47">
        <w:rPr>
          <w:szCs w:val="24"/>
        </w:rPr>
        <w:t xml:space="preserve">, or students </w:t>
      </w:r>
      <w:r w:rsidR="0038797D" w:rsidRPr="00E22C47">
        <w:rPr>
          <w:szCs w:val="24"/>
        </w:rPr>
        <w:t>sponsored under the Student visa route</w:t>
      </w:r>
      <w:r w:rsidR="3EFEF584" w:rsidRPr="00E22C47">
        <w:rPr>
          <w:szCs w:val="24"/>
        </w:rPr>
        <w:t xml:space="preserve"> where stricter attendance and engagement requirements are in place</w:t>
      </w:r>
      <w:r>
        <w:rPr>
          <w:szCs w:val="24"/>
        </w:rPr>
        <w:t xml:space="preserve"> (see section 8)</w:t>
      </w:r>
      <w:r w:rsidR="3EFEF584" w:rsidRPr="00E22C47">
        <w:rPr>
          <w:szCs w:val="24"/>
        </w:rPr>
        <w:t>.</w:t>
      </w:r>
    </w:p>
    <w:p w14:paraId="7CD9300A" w14:textId="229FE930" w:rsidR="000614F2" w:rsidRDefault="00A562DB" w:rsidP="00937F4D">
      <w:pPr>
        <w:pStyle w:val="ListParagraph"/>
        <w:numPr>
          <w:ilvl w:val="1"/>
          <w:numId w:val="3"/>
        </w:numPr>
        <w:spacing w:line="276" w:lineRule="auto"/>
      </w:pPr>
      <w:r>
        <w:t xml:space="preserve">Where an illness is related to an existing disability, it is </w:t>
      </w:r>
      <w:r w:rsidR="00321A45">
        <w:t>recommended that the student</w:t>
      </w:r>
      <w:r>
        <w:t xml:space="preserve"> make</w:t>
      </w:r>
      <w:r w:rsidR="00321A45">
        <w:t>s</w:t>
      </w:r>
      <w:r>
        <w:t xml:space="preserve"> contact with the Disability and Dyslexia Service, with whom </w:t>
      </w:r>
      <w:r w:rsidR="00321A45">
        <w:t>they</w:t>
      </w:r>
      <w:r>
        <w:t xml:space="preserve"> can discuss possible reasonable adjustments.</w:t>
      </w:r>
    </w:p>
    <w:p w14:paraId="3EDFE362" w14:textId="445B9420" w:rsidR="00F1776A" w:rsidRDefault="00AE0019" w:rsidP="00937F4D">
      <w:pPr>
        <w:pStyle w:val="ListParagraph"/>
        <w:numPr>
          <w:ilvl w:val="1"/>
          <w:numId w:val="3"/>
        </w:numPr>
        <w:spacing w:line="276" w:lineRule="auto"/>
      </w:pPr>
      <w:r w:rsidRPr="00CC16B8">
        <w:t>Students are not permitted to check in to campus-based taught sessions via the attendance monitoring system if they are absent, a practice known as 'code-sharing.' This may lead to a formal attendance warning</w:t>
      </w:r>
      <w:r>
        <w:t xml:space="preserve">, putting </w:t>
      </w:r>
      <w:r w:rsidR="000614F2">
        <w:t xml:space="preserve">registration </w:t>
      </w:r>
      <w:r>
        <w:t>at risk of termination</w:t>
      </w:r>
      <w:r w:rsidRPr="00CC16B8">
        <w:t>.</w:t>
      </w:r>
    </w:p>
    <w:p w14:paraId="33B51531" w14:textId="202C6B6B" w:rsidR="00F1776A" w:rsidRDefault="00C57B1B" w:rsidP="00937F4D">
      <w:pPr>
        <w:pStyle w:val="ListParagraph"/>
        <w:numPr>
          <w:ilvl w:val="1"/>
          <w:numId w:val="3"/>
        </w:numPr>
        <w:spacing w:line="276" w:lineRule="auto"/>
      </w:pPr>
      <w:r>
        <w:t xml:space="preserve">Viewing </w:t>
      </w:r>
      <w:r w:rsidR="48B318C1">
        <w:t>recordings of</w:t>
      </w:r>
      <w:r>
        <w:t xml:space="preserve"> scheduled on-campus teaching sessions rather than </w:t>
      </w:r>
      <w:r w:rsidR="751B4A2D">
        <w:t>attending</w:t>
      </w:r>
      <w:r w:rsidR="58537CE0">
        <w:t xml:space="preserve"> </w:t>
      </w:r>
      <w:r>
        <w:t xml:space="preserve">face to face, is </w:t>
      </w:r>
      <w:r w:rsidR="00FB1F4D">
        <w:t>not considered</w:t>
      </w:r>
      <w:r w:rsidR="0049266C">
        <w:t xml:space="preserve"> attendance</w:t>
      </w:r>
      <w:r w:rsidR="24D1ABF1">
        <w:t>.</w:t>
      </w:r>
      <w:r>
        <w:t xml:space="preserve"> </w:t>
      </w:r>
      <w:bookmarkStart w:id="10" w:name="_Toc139841772"/>
    </w:p>
    <w:p w14:paraId="095CBF06" w14:textId="77777777" w:rsidR="00F1776A" w:rsidRDefault="00F1776A" w:rsidP="00937F4D">
      <w:pPr>
        <w:spacing w:line="276" w:lineRule="auto"/>
      </w:pPr>
    </w:p>
    <w:p w14:paraId="6072BA25" w14:textId="735678A7" w:rsidR="00C57B1B" w:rsidRDefault="00860C89" w:rsidP="00937F4D">
      <w:pPr>
        <w:pStyle w:val="Heading1"/>
        <w:numPr>
          <w:ilvl w:val="0"/>
          <w:numId w:val="3"/>
        </w:numPr>
        <w:spacing w:line="276" w:lineRule="auto"/>
      </w:pPr>
      <w:bookmarkStart w:id="11" w:name="_Toc205310227"/>
      <w:r>
        <w:t>Intervention</w:t>
      </w:r>
      <w:r w:rsidR="00C57B1B">
        <w:t xml:space="preserve"> where poor engagement is highlighted</w:t>
      </w:r>
      <w:bookmarkEnd w:id="10"/>
      <w:bookmarkEnd w:id="11"/>
    </w:p>
    <w:p w14:paraId="141EAFFF" w14:textId="77777777" w:rsidR="00133026" w:rsidRDefault="00133026" w:rsidP="00937F4D">
      <w:pPr>
        <w:spacing w:line="276" w:lineRule="auto"/>
      </w:pPr>
    </w:p>
    <w:p w14:paraId="110A0542" w14:textId="77777777" w:rsidR="00F1776A" w:rsidRDefault="00133026" w:rsidP="00937F4D">
      <w:pPr>
        <w:pStyle w:val="ListParagraph"/>
        <w:numPr>
          <w:ilvl w:val="1"/>
          <w:numId w:val="3"/>
        </w:numPr>
        <w:spacing w:after="240" w:line="276" w:lineRule="auto"/>
      </w:pPr>
      <w:r>
        <w:t xml:space="preserve">The University recognises that there will be instances where a student is unable to engage with their teaching and learning activities and therefore will have a low engagement data footprint. </w:t>
      </w:r>
    </w:p>
    <w:p w14:paraId="7AB0F2F7" w14:textId="5B97D5F7" w:rsidR="006321E9" w:rsidRDefault="00C57B1B" w:rsidP="00937F4D">
      <w:pPr>
        <w:pStyle w:val="ListParagraph"/>
        <w:numPr>
          <w:ilvl w:val="1"/>
          <w:numId w:val="3"/>
        </w:numPr>
        <w:spacing w:after="240" w:line="276" w:lineRule="auto"/>
      </w:pPr>
      <w:r>
        <w:t xml:space="preserve">Where </w:t>
      </w:r>
      <w:r w:rsidR="006321E9">
        <w:t xml:space="preserve">a student’s </w:t>
      </w:r>
      <w:r>
        <w:t xml:space="preserve">engagement </w:t>
      </w:r>
      <w:r w:rsidR="006321E9">
        <w:t>with</w:t>
      </w:r>
      <w:r>
        <w:t xml:space="preserve"> studies </w:t>
      </w:r>
      <w:r w:rsidR="006321E9">
        <w:t>reduces</w:t>
      </w:r>
      <w:r>
        <w:t xml:space="preserve">, </w:t>
      </w:r>
      <w:r w:rsidR="006321E9">
        <w:t>they</w:t>
      </w:r>
      <w:r>
        <w:t xml:space="preserve"> </w:t>
      </w:r>
      <w:r w:rsidR="006321E9">
        <w:t>may</w:t>
      </w:r>
      <w:r>
        <w:t xml:space="preserve"> be contacted by the </w:t>
      </w:r>
      <w:r w:rsidR="00EE6F06">
        <w:t>Student Achievement Team</w:t>
      </w:r>
      <w:r>
        <w:t xml:space="preserve"> to remind them of the </w:t>
      </w:r>
      <w:r w:rsidR="006321E9">
        <w:t xml:space="preserve">attendance and engagement </w:t>
      </w:r>
      <w:r>
        <w:t>expectations</w:t>
      </w:r>
      <w:r w:rsidR="006321E9">
        <w:t xml:space="preserve">, </w:t>
      </w:r>
      <w:r w:rsidR="7544EAB1">
        <w:t xml:space="preserve">and </w:t>
      </w:r>
      <w:r w:rsidR="006321E9">
        <w:t xml:space="preserve">offer reengagement </w:t>
      </w:r>
      <w:r w:rsidR="7544EAB1">
        <w:t xml:space="preserve">support. </w:t>
      </w:r>
      <w:r w:rsidR="4726CA39">
        <w:t>I</w:t>
      </w:r>
      <w:r w:rsidR="58537CE0">
        <w:t xml:space="preserve">n </w:t>
      </w:r>
      <w:r>
        <w:t xml:space="preserve">the case of </w:t>
      </w:r>
      <w:r w:rsidR="3E9D28BF">
        <w:t xml:space="preserve">students on a study </w:t>
      </w:r>
      <w:r w:rsidR="007F58FA">
        <w:t>visa, the</w:t>
      </w:r>
      <w:r w:rsidR="3E9D28BF">
        <w:t xml:space="preserve"> </w:t>
      </w:r>
      <w:hyperlink r:id="rId15" w:history="1">
        <w:r w:rsidR="3E9D28BF" w:rsidRPr="009F7634">
          <w:rPr>
            <w:rStyle w:val="Hyperlink"/>
          </w:rPr>
          <w:t>International Support and Compliance Team</w:t>
        </w:r>
      </w:hyperlink>
      <w:r w:rsidR="3E9D28BF">
        <w:t xml:space="preserve"> will remind them of the Student </w:t>
      </w:r>
      <w:r w:rsidR="00F12D3B">
        <w:t xml:space="preserve">visa </w:t>
      </w:r>
      <w:r w:rsidR="6F35A583">
        <w:t>obligations and</w:t>
      </w:r>
      <w:r>
        <w:t xml:space="preserve"> the potential consequences of continued poor engagement. Staff contacting students of concern will do so in a supportive manner.</w:t>
      </w:r>
    </w:p>
    <w:p w14:paraId="01B89B5C" w14:textId="77777777" w:rsidR="006321E9" w:rsidRDefault="00F02BE1" w:rsidP="00937F4D">
      <w:pPr>
        <w:pStyle w:val="ListParagraph"/>
        <w:numPr>
          <w:ilvl w:val="1"/>
          <w:numId w:val="3"/>
        </w:numPr>
        <w:spacing w:after="240" w:line="276" w:lineRule="auto"/>
      </w:pPr>
      <w:r>
        <w:t xml:space="preserve">Students who are identified as having low engagement must respond and engage with the outreach from </w:t>
      </w:r>
      <w:r w:rsidR="571A124B">
        <w:t>the University</w:t>
      </w:r>
      <w:r>
        <w:t>.</w:t>
      </w:r>
    </w:p>
    <w:p w14:paraId="3D3A0857" w14:textId="4BCC8FE1" w:rsidR="58074843" w:rsidRDefault="58074843" w:rsidP="00937F4D">
      <w:pPr>
        <w:pStyle w:val="ListParagraph"/>
        <w:numPr>
          <w:ilvl w:val="1"/>
          <w:numId w:val="3"/>
        </w:numPr>
        <w:spacing w:after="240" w:line="276" w:lineRule="auto"/>
      </w:pPr>
      <w:r w:rsidRPr="006321E9">
        <w:t>Students who have been contacted regarding their engagement with their course will be subject to close monitoring to ensure they re-engage and maintain continuous participation.</w:t>
      </w:r>
    </w:p>
    <w:p w14:paraId="51F47054" w14:textId="77777777" w:rsidR="006321E9" w:rsidRDefault="00C57B1B" w:rsidP="00937F4D">
      <w:pPr>
        <w:pStyle w:val="ListParagraph"/>
        <w:numPr>
          <w:ilvl w:val="1"/>
          <w:numId w:val="3"/>
        </w:numPr>
        <w:spacing w:after="240" w:line="276" w:lineRule="auto"/>
      </w:pPr>
      <w:r>
        <w:t>Depending on the stage of the process, the intervention method may change according to who makes the contact and the type of contact (e.g., phone calls, text messages and emails).</w:t>
      </w:r>
    </w:p>
    <w:p w14:paraId="42B3D584" w14:textId="3631AAC2" w:rsidR="00CD2831" w:rsidRDefault="00C57B1B" w:rsidP="00937F4D">
      <w:pPr>
        <w:pStyle w:val="ListParagraph"/>
        <w:numPr>
          <w:ilvl w:val="1"/>
          <w:numId w:val="3"/>
        </w:numPr>
        <w:spacing w:after="240" w:line="276" w:lineRule="auto"/>
      </w:pPr>
      <w:r>
        <w:t>The University may terminate</w:t>
      </w:r>
      <w:r w:rsidR="006321E9">
        <w:t xml:space="preserve"> the registration of</w:t>
      </w:r>
      <w:r>
        <w:t xml:space="preserve"> a student from their course if they are not showing satisfactory engagement and, where applicable, this will be reported to the</w:t>
      </w:r>
      <w:r w:rsidR="006321E9">
        <w:t>:</w:t>
      </w:r>
    </w:p>
    <w:p w14:paraId="214B6B69" w14:textId="77777777" w:rsidR="006321E9" w:rsidRDefault="00C57B1B" w:rsidP="00937F4D">
      <w:pPr>
        <w:pStyle w:val="ListParagraph"/>
        <w:numPr>
          <w:ilvl w:val="0"/>
          <w:numId w:val="8"/>
        </w:numPr>
        <w:spacing w:line="276" w:lineRule="auto"/>
      </w:pPr>
      <w:r>
        <w:t>Student Loan Company (SLC) who will end payments</w:t>
      </w:r>
      <w:r w:rsidR="00CD2831">
        <w:t xml:space="preserve"> in line with the last date of attendance (the later of the last teaching session attended or the last assessment submitted)</w:t>
      </w:r>
      <w:r>
        <w:t xml:space="preserve"> </w:t>
      </w:r>
    </w:p>
    <w:p w14:paraId="4EF1CAF4" w14:textId="53E3BC81" w:rsidR="00C57B1B" w:rsidRDefault="00C57B1B" w:rsidP="00937F4D">
      <w:pPr>
        <w:pStyle w:val="ListParagraph"/>
        <w:numPr>
          <w:ilvl w:val="0"/>
          <w:numId w:val="8"/>
        </w:numPr>
        <w:spacing w:line="276" w:lineRule="auto"/>
      </w:pPr>
      <w:r>
        <w:t>UK Visas and Immigration who will begin the process of visa</w:t>
      </w:r>
      <w:r w:rsidR="006321E9">
        <w:t xml:space="preserve"> </w:t>
      </w:r>
      <w:r w:rsidR="00086FD1">
        <w:t>cancellation</w:t>
      </w:r>
      <w:r>
        <w:t>.</w:t>
      </w:r>
      <w:r w:rsidR="00280DB3">
        <w:t xml:space="preserve"> </w:t>
      </w:r>
    </w:p>
    <w:p w14:paraId="01670A32" w14:textId="6D5030D4" w:rsidR="006E7CFD" w:rsidRDefault="00C57B1B" w:rsidP="00321A45">
      <w:pPr>
        <w:pStyle w:val="ListParagraph"/>
        <w:numPr>
          <w:ilvl w:val="1"/>
          <w:numId w:val="3"/>
        </w:numPr>
        <w:spacing w:after="240" w:line="276" w:lineRule="auto"/>
      </w:pPr>
      <w:r>
        <w:t>If a student</w:t>
      </w:r>
      <w:r w:rsidR="006321E9">
        <w:t>’s</w:t>
      </w:r>
      <w:r>
        <w:t xml:space="preserve"> </w:t>
      </w:r>
      <w:r w:rsidR="006321E9">
        <w:t>registration</w:t>
      </w:r>
      <w:r>
        <w:t xml:space="preserve"> is terminated for lack of engagement, as per the </w:t>
      </w:r>
      <w:hyperlink r:id="rId16" w:history="1">
        <w:r w:rsidRPr="00CD6B80">
          <w:rPr>
            <w:rStyle w:val="Hyperlink"/>
          </w:rPr>
          <w:t>Appeals Policy</w:t>
        </w:r>
      </w:hyperlink>
      <w:r>
        <w:t xml:space="preserve"> they have the right to appeal within 10 working days from the date that the termination notification is sent via email.</w:t>
      </w:r>
    </w:p>
    <w:p w14:paraId="1A226ED8" w14:textId="77777777" w:rsidR="006E7CFD" w:rsidRDefault="006E7CFD" w:rsidP="006E7CFD">
      <w:pPr>
        <w:pStyle w:val="Heading1"/>
        <w:numPr>
          <w:ilvl w:val="0"/>
          <w:numId w:val="3"/>
        </w:numPr>
        <w:spacing w:line="276" w:lineRule="auto"/>
      </w:pPr>
      <w:bookmarkStart w:id="12" w:name="_Toc139841774"/>
      <w:bookmarkStart w:id="13" w:name="_Toc205310228"/>
      <w:r>
        <w:t>Roles and responsibilities</w:t>
      </w:r>
      <w:bookmarkEnd w:id="12"/>
      <w:bookmarkEnd w:id="13"/>
    </w:p>
    <w:p w14:paraId="360305FF" w14:textId="77777777" w:rsidR="006E7CFD" w:rsidRPr="003C4DEB" w:rsidRDefault="006E7CFD" w:rsidP="006E7CFD">
      <w:pPr>
        <w:spacing w:line="276" w:lineRule="auto"/>
      </w:pPr>
    </w:p>
    <w:p w14:paraId="063939CD" w14:textId="02272778" w:rsidR="00EA4ED8" w:rsidRDefault="006E7CFD" w:rsidP="00EA4ED8">
      <w:pPr>
        <w:pStyle w:val="ListParagraph"/>
        <w:numPr>
          <w:ilvl w:val="1"/>
          <w:numId w:val="3"/>
        </w:numPr>
        <w:spacing w:after="240" w:line="276" w:lineRule="auto"/>
      </w:pPr>
      <w:r>
        <w:t>A whole University approach is required to support the retention and achievement of students. Specific responsibilit</w:t>
      </w:r>
      <w:r w:rsidR="00917913">
        <w:t>ies</w:t>
      </w:r>
      <w:r>
        <w:t xml:space="preserve"> </w:t>
      </w:r>
      <w:r w:rsidR="00AD51CD">
        <w:t>of key</w:t>
      </w:r>
      <w:r w:rsidR="00917913">
        <w:t xml:space="preserve"> stakeholders are</w:t>
      </w:r>
      <w:r>
        <w:t xml:space="preserve"> outlined below.</w:t>
      </w:r>
    </w:p>
    <w:p w14:paraId="4C1F6B96" w14:textId="77777777" w:rsidR="00EA4ED8" w:rsidRDefault="006E7CFD" w:rsidP="00EA4ED8">
      <w:pPr>
        <w:pStyle w:val="ListParagraph"/>
        <w:numPr>
          <w:ilvl w:val="2"/>
          <w:numId w:val="3"/>
        </w:numPr>
        <w:spacing w:after="240" w:line="276" w:lineRule="auto"/>
      </w:pPr>
      <w:r w:rsidRPr="00EA4ED8">
        <w:rPr>
          <w:b/>
          <w:bCs/>
        </w:rPr>
        <w:t>Students</w:t>
      </w:r>
      <w:r w:rsidRPr="00A203DE">
        <w:t xml:space="preserve"> </w:t>
      </w:r>
      <w:r>
        <w:t>will</w:t>
      </w:r>
      <w:r w:rsidRPr="00A203DE">
        <w:t xml:space="preserve"> truthfully register attendance at timetabled session</w:t>
      </w:r>
      <w:r>
        <w:t>s and notify the University of absences (see section 4).</w:t>
      </w:r>
    </w:p>
    <w:p w14:paraId="52A9CA41" w14:textId="4BAC0E44" w:rsidR="00EA4ED8" w:rsidRDefault="006E7CFD" w:rsidP="00EA4ED8">
      <w:pPr>
        <w:pStyle w:val="ListParagraph"/>
        <w:numPr>
          <w:ilvl w:val="2"/>
          <w:numId w:val="3"/>
        </w:numPr>
        <w:spacing w:after="240" w:line="276" w:lineRule="auto"/>
      </w:pPr>
      <w:r w:rsidRPr="00EA4ED8">
        <w:rPr>
          <w:b/>
          <w:bCs/>
        </w:rPr>
        <w:t>Schools</w:t>
      </w:r>
      <w:r w:rsidRPr="005947DD">
        <w:t xml:space="preserve"> will remind students of the importance of continued engagement. They will put academic support in place or refer students to the appropriate service or team to support re-engagement. Students with complex requirements will be referred to the Student Achievement Team for reengagement support.</w:t>
      </w:r>
      <w:r>
        <w:t xml:space="preserve"> Schools</w:t>
      </w:r>
      <w:r w:rsidRPr="00E0086A">
        <w:t xml:space="preserve"> will use the attendance monitoring system to record </w:t>
      </w:r>
      <w:r w:rsidRPr="00E0086A">
        <w:lastRenderedPageBreak/>
        <w:t>attendance for timetabled sessions and resolve queries regarding attendance records from the students.</w:t>
      </w:r>
    </w:p>
    <w:p w14:paraId="2B2723AB" w14:textId="77777777" w:rsidR="00EA4ED8" w:rsidRDefault="006E7CFD" w:rsidP="00EA4ED8">
      <w:pPr>
        <w:pStyle w:val="ListParagraph"/>
        <w:numPr>
          <w:ilvl w:val="2"/>
          <w:numId w:val="3"/>
        </w:numPr>
        <w:spacing w:after="240" w:line="276" w:lineRule="auto"/>
      </w:pPr>
      <w:r w:rsidRPr="00EA4ED8">
        <w:rPr>
          <w:b/>
          <w:bCs/>
        </w:rPr>
        <w:t>The Student Achievement Team</w:t>
      </w:r>
      <w:r>
        <w:t xml:space="preserve"> is the key lead with regard to student outreach, contacting students of concern as identified using the engagement behaviours and data, and providing suitable interventions as required. The Student Achievement Team will facilitate a range of intervention activity to support students to engage. This will include signposting students to Schools and teams across the University as appropriate.</w:t>
      </w:r>
    </w:p>
    <w:p w14:paraId="29F4E2F9" w14:textId="2C7BF9B3" w:rsidR="00944BC6" w:rsidRDefault="00EB62CF" w:rsidP="00EA4ED8">
      <w:pPr>
        <w:pStyle w:val="ListParagraph"/>
        <w:numPr>
          <w:ilvl w:val="2"/>
          <w:numId w:val="3"/>
        </w:numPr>
        <w:spacing w:after="240" w:line="276" w:lineRule="auto"/>
      </w:pPr>
      <w:r w:rsidRPr="00EA4ED8">
        <w:rPr>
          <w:b/>
          <w:bCs/>
        </w:rPr>
        <w:t xml:space="preserve">The Engagement Review Panel </w:t>
      </w:r>
      <w:r w:rsidRPr="000710EF">
        <w:t>will confirm actions based on recommendations to terminate</w:t>
      </w:r>
      <w:r w:rsidR="000710EF" w:rsidRPr="000710EF">
        <w:t xml:space="preserve"> student</w:t>
      </w:r>
      <w:r w:rsidRPr="000710EF">
        <w:t xml:space="preserve"> registration</w:t>
      </w:r>
      <w:r w:rsidR="000710EF" w:rsidRPr="000710EF">
        <w:t>s</w:t>
      </w:r>
      <w:r w:rsidRPr="000710EF">
        <w:t xml:space="preserve"> </w:t>
      </w:r>
      <w:r w:rsidR="000710EF" w:rsidRPr="000710EF">
        <w:t>following engagement review at School level</w:t>
      </w:r>
      <w:r w:rsidRPr="000710EF">
        <w:t>.</w:t>
      </w:r>
    </w:p>
    <w:p w14:paraId="7142E435" w14:textId="77777777" w:rsidR="00C57B1B" w:rsidRDefault="00C57B1B" w:rsidP="00937F4D">
      <w:pPr>
        <w:pStyle w:val="Heading1"/>
        <w:numPr>
          <w:ilvl w:val="0"/>
          <w:numId w:val="3"/>
        </w:numPr>
        <w:spacing w:line="276" w:lineRule="auto"/>
      </w:pPr>
      <w:bookmarkStart w:id="14" w:name="_Toc139841775"/>
      <w:bookmarkStart w:id="15" w:name="_Toc205310229"/>
      <w:r>
        <w:t>Engagement Processes</w:t>
      </w:r>
      <w:bookmarkEnd w:id="14"/>
      <w:bookmarkEnd w:id="15"/>
    </w:p>
    <w:p w14:paraId="672C4109" w14:textId="77777777" w:rsidR="008804F9" w:rsidRDefault="008804F9" w:rsidP="008804F9"/>
    <w:p w14:paraId="04ABA047" w14:textId="77777777" w:rsidR="00621E92" w:rsidRDefault="008804F9" w:rsidP="00621E92">
      <w:pPr>
        <w:pStyle w:val="ListParagraph"/>
        <w:numPr>
          <w:ilvl w:val="1"/>
          <w:numId w:val="3"/>
        </w:numPr>
      </w:pPr>
      <w:r>
        <w:t>The Student Achievement Team will</w:t>
      </w:r>
      <w:r w:rsidR="00621E92">
        <w:t xml:space="preserve"> </w:t>
      </w:r>
      <w:r>
        <w:t>share the</w:t>
      </w:r>
      <w:r w:rsidRPr="008804F9">
        <w:t xml:space="preserve"> </w:t>
      </w:r>
      <w:r w:rsidR="00493F34">
        <w:t>student engagement data</w:t>
      </w:r>
      <w:r w:rsidRPr="008804F9">
        <w:t xml:space="preserve"> with the Schools via their Deans, Heads of Student Experience and Academic Outcomes, and Course Leaders, so that the Schools may arrange academic outreach to support where appropriate. </w:t>
      </w:r>
    </w:p>
    <w:p w14:paraId="168F1852" w14:textId="1D444B68" w:rsidR="00D67A03" w:rsidRDefault="00621E92" w:rsidP="00D67A03">
      <w:pPr>
        <w:pStyle w:val="ListParagraph"/>
        <w:numPr>
          <w:ilvl w:val="1"/>
          <w:numId w:val="3"/>
        </w:numPr>
      </w:pPr>
      <w:r>
        <w:t>Following consultation with the Schools, the Student Achievement Team will c</w:t>
      </w:r>
      <w:r w:rsidR="005D4531">
        <w:t xml:space="preserve">ontact the students </w:t>
      </w:r>
      <w:r w:rsidR="00573869">
        <w:t xml:space="preserve">in need of </w:t>
      </w:r>
      <w:r w:rsidR="00AF5D75">
        <w:t>outreach</w:t>
      </w:r>
      <w:r w:rsidR="00860C89">
        <w:t xml:space="preserve"> (see Section 5)</w:t>
      </w:r>
      <w:r w:rsidR="00F5078C">
        <w:t>.</w:t>
      </w:r>
      <w:r w:rsidR="00106089">
        <w:t xml:space="preserve"> </w:t>
      </w:r>
      <w:r w:rsidR="007C39A1">
        <w:t>S</w:t>
      </w:r>
      <w:r w:rsidR="009E7FEA">
        <w:t>tudents</w:t>
      </w:r>
      <w:r w:rsidR="009F1168">
        <w:t xml:space="preserve"> with continued low engagement following intervention</w:t>
      </w:r>
      <w:r w:rsidR="007C39A1">
        <w:t xml:space="preserve"> may receive a formal attendance warning</w:t>
      </w:r>
      <w:r w:rsidR="00106089">
        <w:t>.</w:t>
      </w:r>
      <w:r w:rsidR="00F5078C">
        <w:t xml:space="preserve"> </w:t>
      </w:r>
    </w:p>
    <w:p w14:paraId="4AB2996B" w14:textId="3A1E1135" w:rsidR="00312C68" w:rsidRDefault="00666A15" w:rsidP="00D67A03">
      <w:pPr>
        <w:pStyle w:val="ListParagraph"/>
        <w:numPr>
          <w:ilvl w:val="1"/>
          <w:numId w:val="3"/>
        </w:numPr>
      </w:pPr>
      <w:r>
        <w:t>For students on a Student visa, the I</w:t>
      </w:r>
      <w:hyperlink r:id="rId17" w:history="1">
        <w:r w:rsidRPr="006432A9">
          <w:rPr>
            <w:rStyle w:val="Hyperlink"/>
          </w:rPr>
          <w:t>nternational Support and Compliance Team</w:t>
        </w:r>
      </w:hyperlink>
      <w:r>
        <w:t xml:space="preserve"> will </w:t>
      </w:r>
      <w:r w:rsidR="000F5C54">
        <w:t xml:space="preserve">also </w:t>
      </w:r>
      <w:r>
        <w:t xml:space="preserve">monitor attendance as per the </w:t>
      </w:r>
      <w:hyperlink r:id="rId18" w:history="1">
        <w:r w:rsidR="008E4E51" w:rsidRPr="00065141">
          <w:rPr>
            <w:rStyle w:val="Hyperlink"/>
          </w:rPr>
          <w:t>Sponsor Compliance Procedures and Processes document</w:t>
        </w:r>
      </w:hyperlink>
      <w:r w:rsidR="008E4E51">
        <w:t>.</w:t>
      </w:r>
      <w:r w:rsidR="00C04B3B">
        <w:t xml:space="preserve"> </w:t>
      </w:r>
      <w:r w:rsidR="00472B43">
        <w:t xml:space="preserve">The team will also consult with </w:t>
      </w:r>
      <w:r w:rsidR="004376A2">
        <w:t>Schools</w:t>
      </w:r>
      <w:r w:rsidR="00472B43">
        <w:t xml:space="preserve"> and Student Services Teams</w:t>
      </w:r>
    </w:p>
    <w:p w14:paraId="62176C57" w14:textId="3B7843D0" w:rsidR="004A15EE" w:rsidRDefault="00CF39BB" w:rsidP="004A15EE">
      <w:pPr>
        <w:pStyle w:val="ListParagraph"/>
        <w:numPr>
          <w:ilvl w:val="1"/>
          <w:numId w:val="3"/>
        </w:numPr>
      </w:pPr>
      <w:r w:rsidRPr="00CF39BB">
        <w:t xml:space="preserve">Student Services will review students identified as being at risk of non-continuation and provide feedback on any exceptional circumstances that may explain their lack of </w:t>
      </w:r>
      <w:r w:rsidR="00065141" w:rsidRPr="00CF39BB">
        <w:t>engagement.</w:t>
      </w:r>
      <w:r w:rsidR="00065141">
        <w:t xml:space="preserve"> In</w:t>
      </w:r>
      <w:r w:rsidR="00910794">
        <w:t xml:space="preserve"> each School t</w:t>
      </w:r>
      <w:r w:rsidR="00C57B1B">
        <w:t xml:space="preserve">he </w:t>
      </w:r>
      <w:r w:rsidR="00910794">
        <w:t>Dean and Head of Student Experience and Academic Outcomes</w:t>
      </w:r>
      <w:r w:rsidR="00C57B1B">
        <w:t xml:space="preserve"> will meet to review</w:t>
      </w:r>
      <w:r w:rsidR="004A15EE" w:rsidRPr="004A15EE">
        <w:t xml:space="preserve"> which students after receipt of a formal warning will </w:t>
      </w:r>
      <w:r w:rsidR="004A15EE">
        <w:t>be recommended to the Engagement Review Panel for termination of registration. In deciding this they will review;</w:t>
      </w:r>
    </w:p>
    <w:p w14:paraId="37A41FD2" w14:textId="77777777" w:rsidR="004A15EE" w:rsidRDefault="004A15EE" w:rsidP="004A15EE">
      <w:pPr>
        <w:pStyle w:val="ListParagraph"/>
        <w:numPr>
          <w:ilvl w:val="1"/>
          <w:numId w:val="16"/>
        </w:numPr>
      </w:pPr>
      <w:r>
        <w:t>data via the PowerBI dashboard demonstrating student engagement levels.</w:t>
      </w:r>
    </w:p>
    <w:p w14:paraId="2E658971" w14:textId="77777777" w:rsidR="004A15EE" w:rsidRDefault="004A15EE" w:rsidP="004A15EE">
      <w:pPr>
        <w:pStyle w:val="ListParagraph"/>
        <w:numPr>
          <w:ilvl w:val="1"/>
          <w:numId w:val="16"/>
        </w:numPr>
      </w:pPr>
      <w:r>
        <w:t>feedback from the Student Achievement Team after intervention</w:t>
      </w:r>
    </w:p>
    <w:p w14:paraId="085678D7" w14:textId="77777777" w:rsidR="004A15EE" w:rsidRDefault="004A15EE" w:rsidP="004A15EE">
      <w:pPr>
        <w:pStyle w:val="ListParagraph"/>
        <w:numPr>
          <w:ilvl w:val="1"/>
          <w:numId w:val="16"/>
        </w:numPr>
      </w:pPr>
      <w:r>
        <w:t>feedback from Student Services in relation to vulnerable students</w:t>
      </w:r>
    </w:p>
    <w:p w14:paraId="3C81DCF9" w14:textId="77777777" w:rsidR="00312796" w:rsidRDefault="004A15EE" w:rsidP="00312796">
      <w:pPr>
        <w:pStyle w:val="ListParagraph"/>
        <w:numPr>
          <w:ilvl w:val="1"/>
          <w:numId w:val="16"/>
        </w:numPr>
      </w:pPr>
      <w:r>
        <w:t>feedback from Schools relating to individual students</w:t>
      </w:r>
    </w:p>
    <w:p w14:paraId="786679D6" w14:textId="4005E07C" w:rsidR="004A15EE" w:rsidRDefault="008F6787" w:rsidP="00312796">
      <w:pPr>
        <w:pStyle w:val="ListParagraph"/>
        <w:numPr>
          <w:ilvl w:val="1"/>
          <w:numId w:val="16"/>
        </w:numPr>
      </w:pPr>
      <w:r>
        <w:t xml:space="preserve">information provided from students in relation to their </w:t>
      </w:r>
      <w:r w:rsidR="6B76540B">
        <w:t>engagement with their course</w:t>
      </w:r>
    </w:p>
    <w:p w14:paraId="2E39BE6A" w14:textId="7F43569B" w:rsidR="00C57B1B" w:rsidRDefault="00712653" w:rsidP="004A15EE">
      <w:pPr>
        <w:pStyle w:val="ListParagraph"/>
        <w:numPr>
          <w:ilvl w:val="1"/>
          <w:numId w:val="3"/>
        </w:numPr>
      </w:pPr>
      <w:r>
        <w:t>The</w:t>
      </w:r>
      <w:r w:rsidRPr="00712653">
        <w:t xml:space="preserve"> Engagement Review Panel will meet on a rolling basis to consider student profiles that are recommended for termination of </w:t>
      </w:r>
      <w:r>
        <w:t>registration</w:t>
      </w:r>
      <w:r w:rsidRPr="00712653">
        <w:t xml:space="preserve"> as a result of engagement review at School level.</w:t>
      </w:r>
    </w:p>
    <w:p w14:paraId="408BEB12" w14:textId="46BB4781" w:rsidR="0052260A" w:rsidRDefault="0052260A" w:rsidP="0052260A">
      <w:pPr>
        <w:pStyle w:val="ListParagraph"/>
        <w:numPr>
          <w:ilvl w:val="1"/>
          <w:numId w:val="3"/>
        </w:numPr>
      </w:pPr>
      <w:r>
        <w:t xml:space="preserve">The </w:t>
      </w:r>
      <w:r w:rsidR="003A5FD3">
        <w:t>Engagement Review Panel</w:t>
      </w:r>
      <w:r>
        <w:t xml:space="preserve"> </w:t>
      </w:r>
      <w:r w:rsidR="00CF74CB">
        <w:t>comprises</w:t>
      </w:r>
      <w:r>
        <w:t xml:space="preserve"> of:</w:t>
      </w:r>
    </w:p>
    <w:p w14:paraId="52C5EB14" w14:textId="77777777" w:rsidR="0052260A" w:rsidRDefault="0052260A" w:rsidP="003A5FD3">
      <w:pPr>
        <w:pStyle w:val="ListParagraph"/>
        <w:numPr>
          <w:ilvl w:val="1"/>
          <w:numId w:val="17"/>
        </w:numPr>
      </w:pPr>
      <w:r>
        <w:t>The Chief Operating Officer</w:t>
      </w:r>
    </w:p>
    <w:p w14:paraId="0DD83A6E" w14:textId="77777777" w:rsidR="0052260A" w:rsidRDefault="0052260A" w:rsidP="003A5FD3">
      <w:pPr>
        <w:pStyle w:val="ListParagraph"/>
        <w:numPr>
          <w:ilvl w:val="1"/>
          <w:numId w:val="17"/>
        </w:numPr>
      </w:pPr>
      <w:r>
        <w:t>Deputy Vice-Chancellor &amp; Provost</w:t>
      </w:r>
    </w:p>
    <w:p w14:paraId="3B465179" w14:textId="77777777" w:rsidR="0052260A" w:rsidRDefault="0052260A" w:rsidP="003A5FD3">
      <w:pPr>
        <w:pStyle w:val="ListParagraph"/>
        <w:numPr>
          <w:ilvl w:val="1"/>
          <w:numId w:val="17"/>
        </w:numPr>
      </w:pPr>
      <w:r>
        <w:t xml:space="preserve">Deputy Vice-Chancellor Student Recruitment and Business </w:t>
      </w:r>
      <w:r>
        <w:lastRenderedPageBreak/>
        <w:t>Development</w:t>
      </w:r>
    </w:p>
    <w:p w14:paraId="13B05BB0" w14:textId="77777777" w:rsidR="0052260A" w:rsidRDefault="0052260A" w:rsidP="003A5FD3">
      <w:pPr>
        <w:pStyle w:val="ListParagraph"/>
        <w:numPr>
          <w:ilvl w:val="1"/>
          <w:numId w:val="17"/>
        </w:numPr>
      </w:pPr>
      <w:r>
        <w:t>Associate Pro Vice-Chancellor Student Success (Interim)</w:t>
      </w:r>
    </w:p>
    <w:p w14:paraId="6FBA2269" w14:textId="77777777" w:rsidR="0052260A" w:rsidRDefault="0052260A" w:rsidP="003A5FD3">
      <w:pPr>
        <w:pStyle w:val="ListParagraph"/>
        <w:numPr>
          <w:ilvl w:val="1"/>
          <w:numId w:val="17"/>
        </w:numPr>
      </w:pPr>
      <w:r>
        <w:t>Academic Registrar</w:t>
      </w:r>
    </w:p>
    <w:p w14:paraId="52C70E2E" w14:textId="77777777" w:rsidR="0052260A" w:rsidRDefault="0052260A" w:rsidP="003A5FD3">
      <w:pPr>
        <w:pStyle w:val="ListParagraph"/>
        <w:numPr>
          <w:ilvl w:val="1"/>
          <w:numId w:val="17"/>
        </w:numPr>
      </w:pPr>
      <w:r>
        <w:t>Head of Continuation and Completion</w:t>
      </w:r>
    </w:p>
    <w:p w14:paraId="3977D440" w14:textId="77777777" w:rsidR="0052260A" w:rsidRDefault="0052260A" w:rsidP="003A5FD3">
      <w:pPr>
        <w:pStyle w:val="ListParagraph"/>
        <w:numPr>
          <w:ilvl w:val="1"/>
          <w:numId w:val="17"/>
        </w:numPr>
      </w:pPr>
      <w:r>
        <w:t>Head of Student Services</w:t>
      </w:r>
    </w:p>
    <w:p w14:paraId="45167769" w14:textId="77777777" w:rsidR="0052260A" w:rsidRDefault="0052260A" w:rsidP="003A5FD3">
      <w:pPr>
        <w:pStyle w:val="ListParagraph"/>
        <w:numPr>
          <w:ilvl w:val="1"/>
          <w:numId w:val="17"/>
        </w:numPr>
      </w:pPr>
      <w:r>
        <w:t>Head of Student Zone Operations and School Administration</w:t>
      </w:r>
    </w:p>
    <w:p w14:paraId="09EFE106" w14:textId="77777777" w:rsidR="0052260A" w:rsidRDefault="0052260A" w:rsidP="003A5FD3">
      <w:pPr>
        <w:pStyle w:val="ListParagraph"/>
        <w:numPr>
          <w:ilvl w:val="1"/>
          <w:numId w:val="17"/>
        </w:numPr>
      </w:pPr>
      <w:r>
        <w:t>Director of International Support and Compliance</w:t>
      </w:r>
    </w:p>
    <w:p w14:paraId="5298498B" w14:textId="77777777" w:rsidR="0052260A" w:rsidRDefault="0052260A" w:rsidP="003A5FD3">
      <w:pPr>
        <w:pStyle w:val="ListParagraph"/>
        <w:numPr>
          <w:ilvl w:val="1"/>
          <w:numId w:val="17"/>
        </w:numPr>
      </w:pPr>
      <w:r>
        <w:t>Accounts Receivable Manager</w:t>
      </w:r>
    </w:p>
    <w:p w14:paraId="374A3356" w14:textId="77777777" w:rsidR="0052260A" w:rsidRDefault="0052260A" w:rsidP="003A5FD3">
      <w:pPr>
        <w:pStyle w:val="ListParagraph"/>
        <w:numPr>
          <w:ilvl w:val="1"/>
          <w:numId w:val="17"/>
        </w:numPr>
      </w:pPr>
      <w:r>
        <w:t>Deputy Accounts Receivable Manager</w:t>
      </w:r>
    </w:p>
    <w:p w14:paraId="34A03BEA" w14:textId="77777777" w:rsidR="0052260A" w:rsidRDefault="0052260A" w:rsidP="003A5FD3">
      <w:pPr>
        <w:pStyle w:val="ListParagraph"/>
        <w:numPr>
          <w:ilvl w:val="1"/>
          <w:numId w:val="17"/>
        </w:numPr>
      </w:pPr>
      <w:r>
        <w:t>A Head of Student Experience and Academic Outcomes</w:t>
      </w:r>
    </w:p>
    <w:p w14:paraId="02275967" w14:textId="77777777" w:rsidR="0052260A" w:rsidRDefault="0052260A" w:rsidP="003A5FD3">
      <w:pPr>
        <w:pStyle w:val="ListParagraph"/>
        <w:numPr>
          <w:ilvl w:val="1"/>
          <w:numId w:val="17"/>
        </w:numPr>
      </w:pPr>
      <w:r>
        <w:t>Director of Admissions and Enrolment</w:t>
      </w:r>
    </w:p>
    <w:p w14:paraId="3A9D6C48" w14:textId="77777777" w:rsidR="0052260A" w:rsidRDefault="0052260A" w:rsidP="003A5FD3">
      <w:pPr>
        <w:pStyle w:val="ListParagraph"/>
        <w:numPr>
          <w:ilvl w:val="1"/>
          <w:numId w:val="17"/>
        </w:numPr>
      </w:pPr>
      <w:r>
        <w:t xml:space="preserve">Director of Planning and Insights </w:t>
      </w:r>
    </w:p>
    <w:p w14:paraId="1C1CAADE" w14:textId="77777777" w:rsidR="00466216" w:rsidRDefault="0052260A" w:rsidP="00466216">
      <w:pPr>
        <w:pStyle w:val="ListParagraph"/>
        <w:numPr>
          <w:ilvl w:val="1"/>
          <w:numId w:val="17"/>
        </w:numPr>
      </w:pPr>
      <w:r>
        <w:t>Student Achievement Manager,(Officer to the Engagement Review Panel)</w:t>
      </w:r>
    </w:p>
    <w:p w14:paraId="2C5F4C7D" w14:textId="77777777" w:rsidR="00466216" w:rsidRDefault="00C57B1B" w:rsidP="00466216">
      <w:pPr>
        <w:pStyle w:val="ListParagraph"/>
        <w:numPr>
          <w:ilvl w:val="1"/>
          <w:numId w:val="3"/>
        </w:numPr>
      </w:pPr>
      <w:r>
        <w:t>Student Records will action the terminations</w:t>
      </w:r>
      <w:r w:rsidR="00692EE9">
        <w:t xml:space="preserve"> </w:t>
      </w:r>
      <w:r w:rsidR="00CF74CB">
        <w:t>o</w:t>
      </w:r>
      <w:r w:rsidR="00D05A6B">
        <w:t>f</w:t>
      </w:r>
      <w:r w:rsidR="00CF74CB">
        <w:t xml:space="preserve"> </w:t>
      </w:r>
      <w:r w:rsidR="00D05A6B">
        <w:t>registration</w:t>
      </w:r>
      <w:r>
        <w:t xml:space="preserve"> and notify the relevant students. A date for the deadline for appeals will be included in the notification.</w:t>
      </w:r>
      <w:r w:rsidR="003627C6" w:rsidRPr="003627C6">
        <w:t xml:space="preserve"> </w:t>
      </w:r>
    </w:p>
    <w:p w14:paraId="517745E0" w14:textId="7599E7D2" w:rsidR="00BB0FEB" w:rsidRDefault="003627C6" w:rsidP="00466216">
      <w:pPr>
        <w:pStyle w:val="ListParagraph"/>
        <w:numPr>
          <w:ilvl w:val="1"/>
          <w:numId w:val="3"/>
        </w:numPr>
      </w:pPr>
      <w:r>
        <w:t xml:space="preserve">Fees and Funding Team </w:t>
      </w:r>
      <w:r w:rsidR="00CD2831">
        <w:t xml:space="preserve">will report the </w:t>
      </w:r>
      <w:r>
        <w:t xml:space="preserve">last day of attendance </w:t>
      </w:r>
      <w:r w:rsidR="00CD2831">
        <w:t>to the Student Loan Company</w:t>
      </w:r>
      <w:r>
        <w:t xml:space="preserve"> to calculate final fees. </w:t>
      </w:r>
      <w:r w:rsidR="00CD2831">
        <w:t>The last date of attendance</w:t>
      </w:r>
      <w:r>
        <w:t xml:space="preserve"> will be the later of the last teaching session attended or the last assessment submitted.</w:t>
      </w:r>
    </w:p>
    <w:p w14:paraId="5E8EBB0F" w14:textId="77777777" w:rsidR="00466216" w:rsidRDefault="00466216" w:rsidP="00466216">
      <w:pPr>
        <w:pStyle w:val="Heading1"/>
        <w:spacing w:line="276" w:lineRule="auto"/>
      </w:pPr>
      <w:bookmarkStart w:id="16" w:name="_Toc139841773"/>
    </w:p>
    <w:p w14:paraId="466C2EA4" w14:textId="27725E78" w:rsidR="00DF7FD4" w:rsidRDefault="00DF7FD4" w:rsidP="00466216">
      <w:pPr>
        <w:pStyle w:val="Heading1"/>
        <w:numPr>
          <w:ilvl w:val="0"/>
          <w:numId w:val="10"/>
        </w:numPr>
        <w:spacing w:line="276" w:lineRule="auto"/>
      </w:pPr>
      <w:bookmarkStart w:id="17" w:name="_Toc205310230"/>
      <w:r>
        <w:t>Exemptions</w:t>
      </w:r>
      <w:bookmarkEnd w:id="16"/>
      <w:bookmarkEnd w:id="17"/>
    </w:p>
    <w:p w14:paraId="3F4613C2" w14:textId="77777777" w:rsidR="00DF7FD4" w:rsidRPr="003C4DEB" w:rsidRDefault="00DF7FD4" w:rsidP="00DF7FD4">
      <w:pPr>
        <w:spacing w:line="276" w:lineRule="auto"/>
      </w:pPr>
    </w:p>
    <w:p w14:paraId="7E70CC92" w14:textId="77777777" w:rsidR="00DF7FD4" w:rsidRDefault="00DF7FD4" w:rsidP="00466216">
      <w:pPr>
        <w:pStyle w:val="ListParagraph"/>
        <w:numPr>
          <w:ilvl w:val="1"/>
          <w:numId w:val="10"/>
        </w:numPr>
        <w:spacing w:after="240" w:line="276" w:lineRule="auto"/>
      </w:pPr>
      <w:r>
        <w:t>Professional body requirements and placement students - Some programmes carry a professional accreditation. Professional bodies may have different or additional engagement requirements. Where such a requirement exists, students will be made aware of this via course handbook and will be expected to adhere to this.</w:t>
      </w:r>
    </w:p>
    <w:p w14:paraId="41E855E9" w14:textId="33562E31" w:rsidR="0017330C" w:rsidRDefault="00DF7FD4" w:rsidP="0017330C">
      <w:pPr>
        <w:pStyle w:val="ListParagraph"/>
        <w:numPr>
          <w:ilvl w:val="1"/>
          <w:numId w:val="10"/>
        </w:numPr>
        <w:spacing w:after="240" w:line="276" w:lineRule="auto"/>
      </w:pPr>
      <w:r>
        <w:t>Postgraduate Research Students and Postgraduate Taught Students may have different or additional engagement requirements. Where such a requirement exists, students will be made aware of this via their module Weblearn pages and will be expected to adhere to this.</w:t>
      </w:r>
    </w:p>
    <w:p w14:paraId="621B0A4F" w14:textId="01FE5454" w:rsidR="00DF7FD4" w:rsidRDefault="00DF7FD4" w:rsidP="0017330C">
      <w:pPr>
        <w:pStyle w:val="ListParagraph"/>
        <w:numPr>
          <w:ilvl w:val="1"/>
          <w:numId w:val="10"/>
        </w:numPr>
        <w:spacing w:after="240" w:line="276" w:lineRule="auto"/>
      </w:pPr>
      <w:r>
        <w:t xml:space="preserve">Students who are studying on a student visa - The University is required to abide by the Student Sponsor Licence Sponsorship duties outlined by the UKVI. Under these duties the University is legally required to monitor all Student visa holders and to maintain engagement records, reporting lack of engagement when necessary. Please see the </w:t>
      </w:r>
      <w:hyperlink r:id="rId19">
        <w:r w:rsidRPr="3EED6ED7">
          <w:rPr>
            <w:rStyle w:val="Hyperlink"/>
          </w:rPr>
          <w:t>international engagement guidance document</w:t>
        </w:r>
      </w:hyperlink>
      <w:r>
        <w:t xml:space="preserve">. Please note only the </w:t>
      </w:r>
      <w:hyperlink r:id="rId20" w:history="1">
        <w:r w:rsidRPr="005F16A1">
          <w:rPr>
            <w:rStyle w:val="Hyperlink"/>
          </w:rPr>
          <w:t>International Support and Compliance Team</w:t>
        </w:r>
      </w:hyperlink>
      <w:r>
        <w:t xml:space="preserve"> can be responsible for withdrawing our student visa students for engagement reasons.</w:t>
      </w:r>
      <w:r w:rsidR="00D521D7">
        <w:t xml:space="preserve"> </w:t>
      </w:r>
      <w:hyperlink r:id="rId21" w:history="1">
        <w:r w:rsidR="00D521D7" w:rsidRPr="005F16A1">
          <w:rPr>
            <w:rStyle w:val="Hyperlink"/>
          </w:rPr>
          <w:t>International Support and Compliance Team</w:t>
        </w:r>
      </w:hyperlink>
      <w:r w:rsidR="00D521D7">
        <w:t xml:space="preserve"> will review student engagement and reach out to students according to the </w:t>
      </w:r>
      <w:hyperlink r:id="rId22" w:history="1">
        <w:r w:rsidR="00D521D7" w:rsidRPr="005F16A1">
          <w:rPr>
            <w:rStyle w:val="Hyperlink"/>
          </w:rPr>
          <w:t>International Student Monitoring Procedure</w:t>
        </w:r>
      </w:hyperlink>
      <w:r w:rsidR="00D521D7">
        <w:t xml:space="preserve"> by email or phone. On occasion a student may be called in to interview before a withdrawal of visa sponsorship decision is made. </w:t>
      </w:r>
    </w:p>
    <w:p w14:paraId="5F64F271" w14:textId="77777777" w:rsidR="00A23C8B" w:rsidRDefault="00DF7FD4" w:rsidP="00466216">
      <w:pPr>
        <w:pStyle w:val="ListParagraph"/>
        <w:numPr>
          <w:ilvl w:val="1"/>
          <w:numId w:val="10"/>
        </w:numPr>
        <w:spacing w:after="240" w:line="276" w:lineRule="auto"/>
      </w:pPr>
      <w:r>
        <w:lastRenderedPageBreak/>
        <w:t>Bursary holders are subject to certain eligibility criteria, one of these criteria is satisfactory levels of engagement with all teaching and learning. Please refer to individual bursary agreements for specific expectations of attendance and engagement.</w:t>
      </w:r>
    </w:p>
    <w:p w14:paraId="158AB39F" w14:textId="7A0F57A6" w:rsidR="00DF7FD4" w:rsidRDefault="00DF7FD4">
      <w:pPr>
        <w:pStyle w:val="ListParagraph"/>
        <w:numPr>
          <w:ilvl w:val="1"/>
          <w:numId w:val="10"/>
        </w:numPr>
        <w:spacing w:after="240" w:line="276" w:lineRule="auto"/>
      </w:pPr>
      <w:r>
        <w:t>Study Abroad and US Financial Aid supported students may have different or additional attendance requirements and should refer to the fees and recruitment teams for further information.</w:t>
      </w:r>
    </w:p>
    <w:sectPr w:rsidR="00DF7FD4" w:rsidSect="007C4803">
      <w:footerReference w:type="default" r:id="rId23"/>
      <w:headerReference w:type="first" r:id="rId24"/>
      <w:footerReference w:type="first" r:id="rId2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CE9C" w14:textId="77777777" w:rsidR="002A230D" w:rsidRDefault="002A230D" w:rsidP="00A45B66">
      <w:r>
        <w:separator/>
      </w:r>
    </w:p>
  </w:endnote>
  <w:endnote w:type="continuationSeparator" w:id="0">
    <w:p w14:paraId="6DD718C9" w14:textId="77777777" w:rsidR="002A230D" w:rsidRDefault="002A230D" w:rsidP="00A45B66">
      <w:r>
        <w:continuationSeparator/>
      </w:r>
    </w:p>
  </w:endnote>
  <w:endnote w:type="continuationNotice" w:id="1">
    <w:p w14:paraId="4EDA46BB" w14:textId="77777777" w:rsidR="002A230D" w:rsidRDefault="002A2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DA4F" w14:textId="77777777"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326BFD">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86DC"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14:paraId="50A06DA1"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14:paraId="359A8CCF"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0518BA71" w14:textId="77777777"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38BC" w14:textId="77777777" w:rsidR="002A230D" w:rsidRDefault="002A230D" w:rsidP="00A45B66">
      <w:r>
        <w:separator/>
      </w:r>
    </w:p>
  </w:footnote>
  <w:footnote w:type="continuationSeparator" w:id="0">
    <w:p w14:paraId="77640BE9" w14:textId="77777777" w:rsidR="002A230D" w:rsidRDefault="002A230D" w:rsidP="00A45B66">
      <w:r>
        <w:continuationSeparator/>
      </w:r>
    </w:p>
  </w:footnote>
  <w:footnote w:type="continuationNotice" w:id="1">
    <w:p w14:paraId="62E3CADB" w14:textId="77777777" w:rsidR="002A230D" w:rsidRDefault="002A23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64EE" w14:textId="77777777" w:rsidR="007C4803" w:rsidRDefault="007C4803">
    <w:pPr>
      <w:pStyle w:val="Header"/>
    </w:pPr>
    <w:r>
      <w:rPr>
        <w:noProof/>
        <w:lang w:val="en-GB" w:eastAsia="en-GB"/>
      </w:rPr>
      <w:drawing>
        <wp:anchor distT="0" distB="0" distL="114300" distR="114300" simplePos="0" relativeHeight="251658240" behindDoc="0" locked="0" layoutInCell="1" allowOverlap="1" wp14:anchorId="48A4312C" wp14:editId="5DFF4CE9">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98D"/>
    <w:multiLevelType w:val="multilevel"/>
    <w:tmpl w:val="48681A82"/>
    <w:lvl w:ilvl="0">
      <w:start w:val="7"/>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6AA2"/>
    <w:multiLevelType w:val="multilevel"/>
    <w:tmpl w:val="874263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bullet"/>
      <w:lvlText w:val=""/>
      <w:lvlJc w:val="left"/>
      <w:pPr>
        <w:ind w:left="1919"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05D56CB"/>
    <w:multiLevelType w:val="multilevel"/>
    <w:tmpl w:val="874263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bullet"/>
      <w:lvlText w:val=""/>
      <w:lvlJc w:val="left"/>
      <w:pPr>
        <w:ind w:left="1919"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10B67B1"/>
    <w:multiLevelType w:val="multilevel"/>
    <w:tmpl w:val="7DA6EFC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74" w:hanging="720"/>
      </w:pPr>
      <w:rPr>
        <w:rFonts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239F4BDA"/>
    <w:multiLevelType w:val="multilevel"/>
    <w:tmpl w:val="35E87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55F6217"/>
    <w:multiLevelType w:val="hybridMultilevel"/>
    <w:tmpl w:val="17C42612"/>
    <w:lvl w:ilvl="0" w:tplc="12B04E5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B376F"/>
    <w:multiLevelType w:val="multilevel"/>
    <w:tmpl w:val="2132C2DA"/>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AE82E92"/>
    <w:multiLevelType w:val="multilevel"/>
    <w:tmpl w:val="7DA6EFC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74" w:hanging="720"/>
      </w:pPr>
      <w:rPr>
        <w:rFonts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359F5219"/>
    <w:multiLevelType w:val="multilevel"/>
    <w:tmpl w:val="7DA6EFC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74" w:hanging="720"/>
      </w:pPr>
      <w:rPr>
        <w:rFonts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3B670F5A"/>
    <w:multiLevelType w:val="multilevel"/>
    <w:tmpl w:val="0ABA00B6"/>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214" w:hanging="360"/>
      </w:pPr>
      <w:rPr>
        <w:rFonts w:ascii="Courier New" w:hAnsi="Courier New" w:cs="Courier New"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491441B9"/>
    <w:multiLevelType w:val="multilevel"/>
    <w:tmpl w:val="A9EC7626"/>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bullet"/>
      <w:lvlText w:val="o"/>
      <w:lvlJc w:val="left"/>
      <w:pPr>
        <w:ind w:left="2214" w:hanging="360"/>
      </w:pPr>
      <w:rPr>
        <w:rFonts w:ascii="Courier New" w:hAnsi="Courier New" w:cs="Courier New"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4AEB648C"/>
    <w:multiLevelType w:val="multilevel"/>
    <w:tmpl w:val="7DA6EFCA"/>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74" w:hanging="720"/>
      </w:pPr>
      <w:rPr>
        <w:rFonts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4B275743"/>
    <w:multiLevelType w:val="multilevel"/>
    <w:tmpl w:val="0ABA00B6"/>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214" w:hanging="360"/>
      </w:pPr>
      <w:rPr>
        <w:rFonts w:ascii="Courier New" w:hAnsi="Courier New" w:cs="Courier New"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B03EB"/>
    <w:multiLevelType w:val="multilevel"/>
    <w:tmpl w:val="35E878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5B279CE"/>
    <w:multiLevelType w:val="multilevel"/>
    <w:tmpl w:val="A9EC7626"/>
    <w:lvl w:ilvl="0">
      <w:start w:val="1"/>
      <w:numFmt w:val="bullet"/>
      <w:lvlText w:val=""/>
      <w:lvlJc w:val="left"/>
      <w:pPr>
        <w:ind w:left="1440" w:hanging="360"/>
      </w:pPr>
      <w:rPr>
        <w:rFonts w:ascii="Symbol" w:hAnsi="Symbol" w:hint="default"/>
      </w:rPr>
    </w:lvl>
    <w:lvl w:ilvl="1">
      <w:start w:val="1"/>
      <w:numFmt w:val="decimal"/>
      <w:isLgl/>
      <w:lvlText w:val="%1.%2."/>
      <w:lvlJc w:val="left"/>
      <w:pPr>
        <w:ind w:left="1800" w:hanging="720"/>
      </w:pPr>
      <w:rPr>
        <w:rFonts w:hint="default"/>
      </w:rPr>
    </w:lvl>
    <w:lvl w:ilvl="2">
      <w:start w:val="1"/>
      <w:numFmt w:val="bullet"/>
      <w:lvlText w:val="o"/>
      <w:lvlJc w:val="left"/>
      <w:pPr>
        <w:ind w:left="2214" w:hanging="360"/>
      </w:pPr>
      <w:rPr>
        <w:rFonts w:ascii="Courier New" w:hAnsi="Courier New" w:cs="Courier New" w:hint="default"/>
      </w:rPr>
    </w:lvl>
    <w:lvl w:ilvl="3">
      <w:start w:val="1"/>
      <w:numFmt w:val="bullet"/>
      <w:lvlText w:val=""/>
      <w:lvlJc w:val="left"/>
      <w:pPr>
        <w:ind w:left="2639" w:hanging="360"/>
      </w:pPr>
      <w:rPr>
        <w:rFonts w:ascii="Symbol" w:hAnsi="Symbo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16cid:durableId="1453329297">
    <w:abstractNumId w:val="14"/>
  </w:num>
  <w:num w:numId="2" w16cid:durableId="1269697863">
    <w:abstractNumId w:val="1"/>
  </w:num>
  <w:num w:numId="3" w16cid:durableId="1463188693">
    <w:abstractNumId w:val="5"/>
  </w:num>
  <w:num w:numId="4" w16cid:durableId="1440174742">
    <w:abstractNumId w:val="6"/>
  </w:num>
  <w:num w:numId="5" w16cid:durableId="66156233">
    <w:abstractNumId w:val="3"/>
  </w:num>
  <w:num w:numId="6" w16cid:durableId="459763546">
    <w:abstractNumId w:val="2"/>
  </w:num>
  <w:num w:numId="7" w16cid:durableId="1439254740">
    <w:abstractNumId w:val="9"/>
  </w:num>
  <w:num w:numId="8" w16cid:durableId="540555449">
    <w:abstractNumId w:val="12"/>
  </w:num>
  <w:num w:numId="9" w16cid:durableId="965770295">
    <w:abstractNumId w:val="0"/>
  </w:num>
  <w:num w:numId="10" w16cid:durableId="407844075">
    <w:abstractNumId w:val="7"/>
  </w:num>
  <w:num w:numId="11" w16cid:durableId="774444033">
    <w:abstractNumId w:val="4"/>
  </w:num>
  <w:num w:numId="12" w16cid:durableId="20715759">
    <w:abstractNumId w:val="15"/>
  </w:num>
  <w:num w:numId="13" w16cid:durableId="925650816">
    <w:abstractNumId w:val="8"/>
  </w:num>
  <w:num w:numId="14" w16cid:durableId="280233535">
    <w:abstractNumId w:val="11"/>
  </w:num>
  <w:num w:numId="15" w16cid:durableId="653991570">
    <w:abstractNumId w:val="16"/>
  </w:num>
  <w:num w:numId="16" w16cid:durableId="1551527246">
    <w:abstractNumId w:val="13"/>
  </w:num>
  <w:num w:numId="17" w16cid:durableId="1399786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CGmSUe6fnWurnIJUpuiTLVyCOvdiHGvNmNgs5KFp1bqnbdhewBf90r+HK13fGPEpX2Vx7oSTACw3V3tGDYBuIw==" w:salt="VAEyIS5r5sOz1fg48MZX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8"/>
    <w:rsid w:val="00000C1D"/>
    <w:rsid w:val="00011E50"/>
    <w:rsid w:val="00015F6A"/>
    <w:rsid w:val="00024559"/>
    <w:rsid w:val="000400FB"/>
    <w:rsid w:val="00043197"/>
    <w:rsid w:val="000516AD"/>
    <w:rsid w:val="00052BD4"/>
    <w:rsid w:val="000614F2"/>
    <w:rsid w:val="00065141"/>
    <w:rsid w:val="0007068D"/>
    <w:rsid w:val="000710EF"/>
    <w:rsid w:val="000719BF"/>
    <w:rsid w:val="00086FD1"/>
    <w:rsid w:val="0009184D"/>
    <w:rsid w:val="000978DC"/>
    <w:rsid w:val="000A1E29"/>
    <w:rsid w:val="000B218A"/>
    <w:rsid w:val="000B4397"/>
    <w:rsid w:val="000C06FB"/>
    <w:rsid w:val="000D124E"/>
    <w:rsid w:val="000E1A84"/>
    <w:rsid w:val="000F5C27"/>
    <w:rsid w:val="000F5C54"/>
    <w:rsid w:val="00106089"/>
    <w:rsid w:val="00111BCA"/>
    <w:rsid w:val="00123F2B"/>
    <w:rsid w:val="00127E27"/>
    <w:rsid w:val="00133026"/>
    <w:rsid w:val="00141316"/>
    <w:rsid w:val="00143E2E"/>
    <w:rsid w:val="00160BE6"/>
    <w:rsid w:val="0016121F"/>
    <w:rsid w:val="0017330C"/>
    <w:rsid w:val="001856E2"/>
    <w:rsid w:val="001A133A"/>
    <w:rsid w:val="001B5B24"/>
    <w:rsid w:val="001C1EDC"/>
    <w:rsid w:val="001D56AF"/>
    <w:rsid w:val="001D6990"/>
    <w:rsid w:val="001E0007"/>
    <w:rsid w:val="001F4062"/>
    <w:rsid w:val="001F52A6"/>
    <w:rsid w:val="001F5999"/>
    <w:rsid w:val="00211776"/>
    <w:rsid w:val="00213189"/>
    <w:rsid w:val="0024186A"/>
    <w:rsid w:val="002547E8"/>
    <w:rsid w:val="00256C1D"/>
    <w:rsid w:val="002575B2"/>
    <w:rsid w:val="002725D5"/>
    <w:rsid w:val="00280DB3"/>
    <w:rsid w:val="00281B40"/>
    <w:rsid w:val="00285D73"/>
    <w:rsid w:val="002866D3"/>
    <w:rsid w:val="0029185C"/>
    <w:rsid w:val="00293D94"/>
    <w:rsid w:val="0029466E"/>
    <w:rsid w:val="002A0C59"/>
    <w:rsid w:val="002A230D"/>
    <w:rsid w:val="002C6123"/>
    <w:rsid w:val="002D4EC9"/>
    <w:rsid w:val="002D6247"/>
    <w:rsid w:val="002D6B6E"/>
    <w:rsid w:val="002D6CA8"/>
    <w:rsid w:val="002E1836"/>
    <w:rsid w:val="00300A4B"/>
    <w:rsid w:val="00312796"/>
    <w:rsid w:val="00312C68"/>
    <w:rsid w:val="00321A45"/>
    <w:rsid w:val="00323ABF"/>
    <w:rsid w:val="00326BFD"/>
    <w:rsid w:val="003627C6"/>
    <w:rsid w:val="00375A7A"/>
    <w:rsid w:val="00376490"/>
    <w:rsid w:val="0037743F"/>
    <w:rsid w:val="00381089"/>
    <w:rsid w:val="0038797D"/>
    <w:rsid w:val="003924A8"/>
    <w:rsid w:val="003A5FD3"/>
    <w:rsid w:val="003A61FA"/>
    <w:rsid w:val="003C06BF"/>
    <w:rsid w:val="003C093F"/>
    <w:rsid w:val="003C4DEB"/>
    <w:rsid w:val="003C5D1E"/>
    <w:rsid w:val="003C5DC8"/>
    <w:rsid w:val="003C70E8"/>
    <w:rsid w:val="003D49CC"/>
    <w:rsid w:val="003F6364"/>
    <w:rsid w:val="003F76E4"/>
    <w:rsid w:val="004016A0"/>
    <w:rsid w:val="00403F82"/>
    <w:rsid w:val="004150BA"/>
    <w:rsid w:val="00422B9D"/>
    <w:rsid w:val="00435924"/>
    <w:rsid w:val="00436AD2"/>
    <w:rsid w:val="004376A2"/>
    <w:rsid w:val="004404D4"/>
    <w:rsid w:val="00446ABE"/>
    <w:rsid w:val="00455E3D"/>
    <w:rsid w:val="004624C2"/>
    <w:rsid w:val="00465F65"/>
    <w:rsid w:val="00466216"/>
    <w:rsid w:val="00472B43"/>
    <w:rsid w:val="0049266C"/>
    <w:rsid w:val="00493F34"/>
    <w:rsid w:val="004A0382"/>
    <w:rsid w:val="004A04C6"/>
    <w:rsid w:val="004A15EE"/>
    <w:rsid w:val="004A6A16"/>
    <w:rsid w:val="004B368A"/>
    <w:rsid w:val="004C00BB"/>
    <w:rsid w:val="004C0BF7"/>
    <w:rsid w:val="004C4E10"/>
    <w:rsid w:val="004C7544"/>
    <w:rsid w:val="004C7784"/>
    <w:rsid w:val="004E2276"/>
    <w:rsid w:val="004F0C93"/>
    <w:rsid w:val="004F0FBF"/>
    <w:rsid w:val="004F282C"/>
    <w:rsid w:val="004F5A3E"/>
    <w:rsid w:val="00501576"/>
    <w:rsid w:val="00503749"/>
    <w:rsid w:val="0052241B"/>
    <w:rsid w:val="0052260A"/>
    <w:rsid w:val="0053138E"/>
    <w:rsid w:val="00531681"/>
    <w:rsid w:val="00531E5B"/>
    <w:rsid w:val="00544CFA"/>
    <w:rsid w:val="00562025"/>
    <w:rsid w:val="0056693B"/>
    <w:rsid w:val="00573869"/>
    <w:rsid w:val="00581235"/>
    <w:rsid w:val="00582ACD"/>
    <w:rsid w:val="005832E5"/>
    <w:rsid w:val="00585111"/>
    <w:rsid w:val="005916B4"/>
    <w:rsid w:val="00592C5D"/>
    <w:rsid w:val="005947DD"/>
    <w:rsid w:val="005D29CD"/>
    <w:rsid w:val="005D4531"/>
    <w:rsid w:val="005E140F"/>
    <w:rsid w:val="005E7117"/>
    <w:rsid w:val="005F16A1"/>
    <w:rsid w:val="005F3281"/>
    <w:rsid w:val="00612B1A"/>
    <w:rsid w:val="0062129C"/>
    <w:rsid w:val="00621E92"/>
    <w:rsid w:val="006321E9"/>
    <w:rsid w:val="006356FF"/>
    <w:rsid w:val="006432A9"/>
    <w:rsid w:val="006624E8"/>
    <w:rsid w:val="006654DE"/>
    <w:rsid w:val="00666A15"/>
    <w:rsid w:val="00676BB9"/>
    <w:rsid w:val="00692EE9"/>
    <w:rsid w:val="006A2D31"/>
    <w:rsid w:val="006A2F2C"/>
    <w:rsid w:val="006B0C8C"/>
    <w:rsid w:val="006C268D"/>
    <w:rsid w:val="006D2E8E"/>
    <w:rsid w:val="006D39F7"/>
    <w:rsid w:val="006D588F"/>
    <w:rsid w:val="006E39CF"/>
    <w:rsid w:val="006E7CFD"/>
    <w:rsid w:val="006F0333"/>
    <w:rsid w:val="006F4A37"/>
    <w:rsid w:val="00702860"/>
    <w:rsid w:val="00712653"/>
    <w:rsid w:val="00725D90"/>
    <w:rsid w:val="00731674"/>
    <w:rsid w:val="0073235C"/>
    <w:rsid w:val="007347A5"/>
    <w:rsid w:val="00734B87"/>
    <w:rsid w:val="00735248"/>
    <w:rsid w:val="00736251"/>
    <w:rsid w:val="007404DF"/>
    <w:rsid w:val="0075194C"/>
    <w:rsid w:val="00767320"/>
    <w:rsid w:val="00771EB4"/>
    <w:rsid w:val="00776006"/>
    <w:rsid w:val="00784529"/>
    <w:rsid w:val="00790C7D"/>
    <w:rsid w:val="00796458"/>
    <w:rsid w:val="007A4AFA"/>
    <w:rsid w:val="007ACC77"/>
    <w:rsid w:val="007C3855"/>
    <w:rsid w:val="007C39A1"/>
    <w:rsid w:val="007C3B5E"/>
    <w:rsid w:val="007C4803"/>
    <w:rsid w:val="007D5023"/>
    <w:rsid w:val="007F58FA"/>
    <w:rsid w:val="00802FA6"/>
    <w:rsid w:val="00823578"/>
    <w:rsid w:val="00824598"/>
    <w:rsid w:val="00826FB6"/>
    <w:rsid w:val="00827B1B"/>
    <w:rsid w:val="00832923"/>
    <w:rsid w:val="00837CCC"/>
    <w:rsid w:val="008433AD"/>
    <w:rsid w:val="00846F19"/>
    <w:rsid w:val="00847AAE"/>
    <w:rsid w:val="00860C89"/>
    <w:rsid w:val="0087144A"/>
    <w:rsid w:val="00876618"/>
    <w:rsid w:val="008804F9"/>
    <w:rsid w:val="00885690"/>
    <w:rsid w:val="008A2D80"/>
    <w:rsid w:val="008B188A"/>
    <w:rsid w:val="008B70FB"/>
    <w:rsid w:val="008D029D"/>
    <w:rsid w:val="008D27FF"/>
    <w:rsid w:val="008D68B1"/>
    <w:rsid w:val="008E4E51"/>
    <w:rsid w:val="008F405F"/>
    <w:rsid w:val="008F6787"/>
    <w:rsid w:val="008F680B"/>
    <w:rsid w:val="00910794"/>
    <w:rsid w:val="00912ECF"/>
    <w:rsid w:val="00917913"/>
    <w:rsid w:val="00917CBA"/>
    <w:rsid w:val="0092E795"/>
    <w:rsid w:val="00935349"/>
    <w:rsid w:val="00935CB0"/>
    <w:rsid w:val="00937F4D"/>
    <w:rsid w:val="00944BC6"/>
    <w:rsid w:val="00962861"/>
    <w:rsid w:val="00964DF8"/>
    <w:rsid w:val="00980F8B"/>
    <w:rsid w:val="00984A41"/>
    <w:rsid w:val="00985C2A"/>
    <w:rsid w:val="00996749"/>
    <w:rsid w:val="009B1F69"/>
    <w:rsid w:val="009E7FEA"/>
    <w:rsid w:val="009F0031"/>
    <w:rsid w:val="009F1168"/>
    <w:rsid w:val="009F3C05"/>
    <w:rsid w:val="009F7634"/>
    <w:rsid w:val="00A05C65"/>
    <w:rsid w:val="00A06A60"/>
    <w:rsid w:val="00A07523"/>
    <w:rsid w:val="00A203DE"/>
    <w:rsid w:val="00A20648"/>
    <w:rsid w:val="00A23C8B"/>
    <w:rsid w:val="00A271B4"/>
    <w:rsid w:val="00A31DB8"/>
    <w:rsid w:val="00A45B66"/>
    <w:rsid w:val="00A504D3"/>
    <w:rsid w:val="00A562DB"/>
    <w:rsid w:val="00A7626C"/>
    <w:rsid w:val="00A7652F"/>
    <w:rsid w:val="00A80E7C"/>
    <w:rsid w:val="00A825B8"/>
    <w:rsid w:val="00A85205"/>
    <w:rsid w:val="00AA6E76"/>
    <w:rsid w:val="00AC0731"/>
    <w:rsid w:val="00AC1288"/>
    <w:rsid w:val="00AC3536"/>
    <w:rsid w:val="00AC4AF0"/>
    <w:rsid w:val="00AC67B7"/>
    <w:rsid w:val="00AD51CD"/>
    <w:rsid w:val="00AD58F1"/>
    <w:rsid w:val="00AD6040"/>
    <w:rsid w:val="00AE0019"/>
    <w:rsid w:val="00AF5D75"/>
    <w:rsid w:val="00AF7B3B"/>
    <w:rsid w:val="00B14E25"/>
    <w:rsid w:val="00B167B4"/>
    <w:rsid w:val="00B253BC"/>
    <w:rsid w:val="00B2609B"/>
    <w:rsid w:val="00B41712"/>
    <w:rsid w:val="00B46E25"/>
    <w:rsid w:val="00B501D3"/>
    <w:rsid w:val="00B50C7B"/>
    <w:rsid w:val="00B54791"/>
    <w:rsid w:val="00B57A6B"/>
    <w:rsid w:val="00B62AFB"/>
    <w:rsid w:val="00B669ED"/>
    <w:rsid w:val="00B712CB"/>
    <w:rsid w:val="00B84CD5"/>
    <w:rsid w:val="00B930EE"/>
    <w:rsid w:val="00BB0FEB"/>
    <w:rsid w:val="00BC57EB"/>
    <w:rsid w:val="00BD44F9"/>
    <w:rsid w:val="00BE541D"/>
    <w:rsid w:val="00C04B3B"/>
    <w:rsid w:val="00C1264D"/>
    <w:rsid w:val="00C2499C"/>
    <w:rsid w:val="00C2717B"/>
    <w:rsid w:val="00C41C0E"/>
    <w:rsid w:val="00C42094"/>
    <w:rsid w:val="00C429BC"/>
    <w:rsid w:val="00C453C1"/>
    <w:rsid w:val="00C57345"/>
    <w:rsid w:val="00C57B1B"/>
    <w:rsid w:val="00C606DF"/>
    <w:rsid w:val="00C75A7B"/>
    <w:rsid w:val="00C81BE0"/>
    <w:rsid w:val="00C83699"/>
    <w:rsid w:val="00C91576"/>
    <w:rsid w:val="00CB0C35"/>
    <w:rsid w:val="00CB1A3A"/>
    <w:rsid w:val="00CC6FD4"/>
    <w:rsid w:val="00CD2831"/>
    <w:rsid w:val="00CE4DD9"/>
    <w:rsid w:val="00CE73B9"/>
    <w:rsid w:val="00CF0370"/>
    <w:rsid w:val="00CF39BB"/>
    <w:rsid w:val="00CF5323"/>
    <w:rsid w:val="00CF5394"/>
    <w:rsid w:val="00CF61B7"/>
    <w:rsid w:val="00CF74CB"/>
    <w:rsid w:val="00D02FF3"/>
    <w:rsid w:val="00D05A6B"/>
    <w:rsid w:val="00D10396"/>
    <w:rsid w:val="00D10484"/>
    <w:rsid w:val="00D15887"/>
    <w:rsid w:val="00D17A7A"/>
    <w:rsid w:val="00D205AD"/>
    <w:rsid w:val="00D47D83"/>
    <w:rsid w:val="00D521D7"/>
    <w:rsid w:val="00D5363B"/>
    <w:rsid w:val="00D60AAB"/>
    <w:rsid w:val="00D636B0"/>
    <w:rsid w:val="00D67A03"/>
    <w:rsid w:val="00D753E7"/>
    <w:rsid w:val="00D7620C"/>
    <w:rsid w:val="00D95113"/>
    <w:rsid w:val="00DA1AEF"/>
    <w:rsid w:val="00DC1BB1"/>
    <w:rsid w:val="00DC1C8A"/>
    <w:rsid w:val="00DC4817"/>
    <w:rsid w:val="00DE4AC7"/>
    <w:rsid w:val="00DE5FC1"/>
    <w:rsid w:val="00DF56EA"/>
    <w:rsid w:val="00DF7FD4"/>
    <w:rsid w:val="00E0086A"/>
    <w:rsid w:val="00E122CA"/>
    <w:rsid w:val="00E22C47"/>
    <w:rsid w:val="00E33A0A"/>
    <w:rsid w:val="00E47E15"/>
    <w:rsid w:val="00E51F46"/>
    <w:rsid w:val="00E552FA"/>
    <w:rsid w:val="00E57F1E"/>
    <w:rsid w:val="00E858DF"/>
    <w:rsid w:val="00E8712C"/>
    <w:rsid w:val="00E87530"/>
    <w:rsid w:val="00E927CD"/>
    <w:rsid w:val="00EA0484"/>
    <w:rsid w:val="00EA4ED8"/>
    <w:rsid w:val="00EB4D4E"/>
    <w:rsid w:val="00EB62CF"/>
    <w:rsid w:val="00EC58D1"/>
    <w:rsid w:val="00EE6F06"/>
    <w:rsid w:val="00EF1D8B"/>
    <w:rsid w:val="00EF21FC"/>
    <w:rsid w:val="00EF2791"/>
    <w:rsid w:val="00F02BE1"/>
    <w:rsid w:val="00F02C91"/>
    <w:rsid w:val="00F12D3B"/>
    <w:rsid w:val="00F14B0C"/>
    <w:rsid w:val="00F17704"/>
    <w:rsid w:val="00F1776A"/>
    <w:rsid w:val="00F3159A"/>
    <w:rsid w:val="00F35754"/>
    <w:rsid w:val="00F5078C"/>
    <w:rsid w:val="00F51739"/>
    <w:rsid w:val="00F55991"/>
    <w:rsid w:val="00F56EDD"/>
    <w:rsid w:val="00FA6D0C"/>
    <w:rsid w:val="00FB1F4D"/>
    <w:rsid w:val="00FB338A"/>
    <w:rsid w:val="00FC0004"/>
    <w:rsid w:val="00FD0C2A"/>
    <w:rsid w:val="00FD2F58"/>
    <w:rsid w:val="00FD420B"/>
    <w:rsid w:val="00FE0E57"/>
    <w:rsid w:val="00FF2FC4"/>
    <w:rsid w:val="00FF6247"/>
    <w:rsid w:val="0139CD8A"/>
    <w:rsid w:val="018FBD50"/>
    <w:rsid w:val="02057E3E"/>
    <w:rsid w:val="027FA80A"/>
    <w:rsid w:val="030E5262"/>
    <w:rsid w:val="03AB6256"/>
    <w:rsid w:val="05FFB48D"/>
    <w:rsid w:val="066302C7"/>
    <w:rsid w:val="06976DCD"/>
    <w:rsid w:val="0721220D"/>
    <w:rsid w:val="07E5C428"/>
    <w:rsid w:val="0B079468"/>
    <w:rsid w:val="0C402F78"/>
    <w:rsid w:val="0D1FDE41"/>
    <w:rsid w:val="0FB27C69"/>
    <w:rsid w:val="101FE110"/>
    <w:rsid w:val="12BDC4CE"/>
    <w:rsid w:val="15191AE6"/>
    <w:rsid w:val="162D05A5"/>
    <w:rsid w:val="18D6C551"/>
    <w:rsid w:val="1ABF4998"/>
    <w:rsid w:val="1AD522D9"/>
    <w:rsid w:val="1C34D8EF"/>
    <w:rsid w:val="1E545738"/>
    <w:rsid w:val="1EA26666"/>
    <w:rsid w:val="1EEA7F44"/>
    <w:rsid w:val="1F238E9E"/>
    <w:rsid w:val="1F8B8332"/>
    <w:rsid w:val="1FC43703"/>
    <w:rsid w:val="20283C1D"/>
    <w:rsid w:val="20B8EB1B"/>
    <w:rsid w:val="217F863C"/>
    <w:rsid w:val="2241A3AD"/>
    <w:rsid w:val="230CAFD6"/>
    <w:rsid w:val="24782D1F"/>
    <w:rsid w:val="24B4D655"/>
    <w:rsid w:val="24D1ABF1"/>
    <w:rsid w:val="254F63DD"/>
    <w:rsid w:val="257B7D0E"/>
    <w:rsid w:val="267D63C8"/>
    <w:rsid w:val="269044D6"/>
    <w:rsid w:val="26CFA663"/>
    <w:rsid w:val="272AF104"/>
    <w:rsid w:val="27CEBB7D"/>
    <w:rsid w:val="283DB278"/>
    <w:rsid w:val="285EF8B9"/>
    <w:rsid w:val="288A1CA5"/>
    <w:rsid w:val="2A1195B9"/>
    <w:rsid w:val="2B4CC3AC"/>
    <w:rsid w:val="2BA175D8"/>
    <w:rsid w:val="2C5A2EC8"/>
    <w:rsid w:val="2DDFCFF4"/>
    <w:rsid w:val="2E7A21A8"/>
    <w:rsid w:val="2E8330BB"/>
    <w:rsid w:val="2EAB3227"/>
    <w:rsid w:val="301A1773"/>
    <w:rsid w:val="3354EF88"/>
    <w:rsid w:val="338DB177"/>
    <w:rsid w:val="33D493FC"/>
    <w:rsid w:val="33DF2BC0"/>
    <w:rsid w:val="342D1235"/>
    <w:rsid w:val="345F77BD"/>
    <w:rsid w:val="3533DC43"/>
    <w:rsid w:val="372C0B04"/>
    <w:rsid w:val="3736D069"/>
    <w:rsid w:val="37C7D940"/>
    <w:rsid w:val="37D76FF6"/>
    <w:rsid w:val="390D4215"/>
    <w:rsid w:val="391EDA94"/>
    <w:rsid w:val="398FCFC1"/>
    <w:rsid w:val="39B259FC"/>
    <w:rsid w:val="3A7BF979"/>
    <w:rsid w:val="3C16D5A9"/>
    <w:rsid w:val="3E140B35"/>
    <w:rsid w:val="3E557B5E"/>
    <w:rsid w:val="3E9D28BF"/>
    <w:rsid w:val="3EAD866E"/>
    <w:rsid w:val="3ED1B9AE"/>
    <w:rsid w:val="3EED4B13"/>
    <w:rsid w:val="3EED6ED7"/>
    <w:rsid w:val="3EFEF584"/>
    <w:rsid w:val="401D1363"/>
    <w:rsid w:val="41AA6F96"/>
    <w:rsid w:val="41C22119"/>
    <w:rsid w:val="42B53DDE"/>
    <w:rsid w:val="4381739B"/>
    <w:rsid w:val="444E0439"/>
    <w:rsid w:val="44B70AB5"/>
    <w:rsid w:val="45D99D74"/>
    <w:rsid w:val="4726CA39"/>
    <w:rsid w:val="47B5C8DE"/>
    <w:rsid w:val="48B318C1"/>
    <w:rsid w:val="492AD32E"/>
    <w:rsid w:val="49E9F3E5"/>
    <w:rsid w:val="4A214935"/>
    <w:rsid w:val="4A89CB71"/>
    <w:rsid w:val="4AEF6F38"/>
    <w:rsid w:val="4BB1075E"/>
    <w:rsid w:val="4C031587"/>
    <w:rsid w:val="4C497B77"/>
    <w:rsid w:val="4C664439"/>
    <w:rsid w:val="4CEFC828"/>
    <w:rsid w:val="4D6B4A90"/>
    <w:rsid w:val="4D8746A2"/>
    <w:rsid w:val="4DD269AA"/>
    <w:rsid w:val="4E7C9478"/>
    <w:rsid w:val="4F98D6FC"/>
    <w:rsid w:val="5021D0B9"/>
    <w:rsid w:val="50C331AA"/>
    <w:rsid w:val="50E449AF"/>
    <w:rsid w:val="512B41EB"/>
    <w:rsid w:val="524DAC18"/>
    <w:rsid w:val="5254C95B"/>
    <w:rsid w:val="53AADA82"/>
    <w:rsid w:val="5454D8A6"/>
    <w:rsid w:val="551AEC29"/>
    <w:rsid w:val="55F259D3"/>
    <w:rsid w:val="55FB838A"/>
    <w:rsid w:val="567D69C2"/>
    <w:rsid w:val="571A124B"/>
    <w:rsid w:val="57218FD8"/>
    <w:rsid w:val="5740587A"/>
    <w:rsid w:val="58074843"/>
    <w:rsid w:val="58537CE0"/>
    <w:rsid w:val="58AAC34D"/>
    <w:rsid w:val="5A8D67A3"/>
    <w:rsid w:val="5C6F0346"/>
    <w:rsid w:val="5C97F8C8"/>
    <w:rsid w:val="5E3B8066"/>
    <w:rsid w:val="5E6C0E6A"/>
    <w:rsid w:val="5EA323F8"/>
    <w:rsid w:val="5EFFBF71"/>
    <w:rsid w:val="5F022928"/>
    <w:rsid w:val="5F29E3F0"/>
    <w:rsid w:val="5FD73E33"/>
    <w:rsid w:val="5FDBBB97"/>
    <w:rsid w:val="60076518"/>
    <w:rsid w:val="60AE6959"/>
    <w:rsid w:val="60FD0828"/>
    <w:rsid w:val="62D0160C"/>
    <w:rsid w:val="62D7327B"/>
    <w:rsid w:val="6834B882"/>
    <w:rsid w:val="69994C81"/>
    <w:rsid w:val="69A793CD"/>
    <w:rsid w:val="6AADFED4"/>
    <w:rsid w:val="6B76540B"/>
    <w:rsid w:val="6C2FC6F0"/>
    <w:rsid w:val="6C7DAFCD"/>
    <w:rsid w:val="6D2EEE7A"/>
    <w:rsid w:val="6D356117"/>
    <w:rsid w:val="6DBB469A"/>
    <w:rsid w:val="6E330810"/>
    <w:rsid w:val="6E4331E4"/>
    <w:rsid w:val="6F19B498"/>
    <w:rsid w:val="6F19F446"/>
    <w:rsid w:val="6F35A583"/>
    <w:rsid w:val="6FBD3F7E"/>
    <w:rsid w:val="70D77CD9"/>
    <w:rsid w:val="71266027"/>
    <w:rsid w:val="71551717"/>
    <w:rsid w:val="71E75FE6"/>
    <w:rsid w:val="72715D45"/>
    <w:rsid w:val="72730C5B"/>
    <w:rsid w:val="729691CA"/>
    <w:rsid w:val="73365250"/>
    <w:rsid w:val="7475E159"/>
    <w:rsid w:val="751B4A2D"/>
    <w:rsid w:val="7544EAB1"/>
    <w:rsid w:val="759FE148"/>
    <w:rsid w:val="75E69EF4"/>
    <w:rsid w:val="77ABFD36"/>
    <w:rsid w:val="77B2CA47"/>
    <w:rsid w:val="782E901E"/>
    <w:rsid w:val="78A4C3A9"/>
    <w:rsid w:val="78BD4A51"/>
    <w:rsid w:val="7A747C00"/>
    <w:rsid w:val="7B8EB2A5"/>
    <w:rsid w:val="7C4D9D17"/>
    <w:rsid w:val="7C4FF05D"/>
    <w:rsid w:val="7CB94528"/>
    <w:rsid w:val="7D4F038D"/>
    <w:rsid w:val="7D79D005"/>
    <w:rsid w:val="7E85FD1A"/>
    <w:rsid w:val="7EA59E0D"/>
    <w:rsid w:val="7EDB3751"/>
    <w:rsid w:val="7EF0D331"/>
    <w:rsid w:val="7F0CF67B"/>
    <w:rsid w:val="7F3030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16AFD"/>
  <w14:defaultImageDpi w14:val="300"/>
  <w15:docId w15:val="{E51ECBCA-06F8-4081-9A9B-E0954C2B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B84CD5"/>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Level1">
    <w:name w:val="List Level 1"/>
    <w:basedOn w:val="ListParagraph"/>
    <w:qFormat/>
    <w:rsid w:val="002D6CA8"/>
    <w:pPr>
      <w:widowControl/>
      <w:numPr>
        <w:numId w:val="0"/>
      </w:numPr>
      <w:suppressAutoHyphens w:val="0"/>
      <w:spacing w:before="120" w:after="120" w:line="360" w:lineRule="auto"/>
    </w:pPr>
    <w:rPr>
      <w:rFonts w:asciiTheme="minorBidi" w:eastAsiaTheme="minorEastAsia" w:hAnsiTheme="minorBidi" w:cstheme="minorBidi"/>
      <w:b/>
      <w:bCs/>
      <w:snapToGrid/>
      <w:sz w:val="18"/>
      <w:szCs w:val="18"/>
      <w:lang w:eastAsia="zh-CN"/>
    </w:rPr>
  </w:style>
  <w:style w:type="paragraph" w:styleId="TOC1">
    <w:name w:val="toc 1"/>
    <w:basedOn w:val="Normal"/>
    <w:next w:val="Normal"/>
    <w:autoRedefine/>
    <w:uiPriority w:val="39"/>
    <w:unhideWhenUsed/>
    <w:rsid w:val="002D6CA8"/>
    <w:pPr>
      <w:spacing w:before="120" w:after="100" w:line="360" w:lineRule="auto"/>
    </w:pPr>
  </w:style>
  <w:style w:type="character" w:styleId="Hyperlink">
    <w:name w:val="Hyperlink"/>
    <w:basedOn w:val="DefaultParagraphFont"/>
    <w:uiPriority w:val="99"/>
    <w:unhideWhenUsed/>
    <w:rsid w:val="002D6CA8"/>
    <w:rPr>
      <w:color w:val="0000FF" w:themeColor="hyperlink"/>
      <w:u w:val="single"/>
    </w:rPr>
  </w:style>
  <w:style w:type="paragraph" w:styleId="TOC2">
    <w:name w:val="toc 2"/>
    <w:basedOn w:val="Normal"/>
    <w:next w:val="Normal"/>
    <w:autoRedefine/>
    <w:uiPriority w:val="39"/>
    <w:unhideWhenUsed/>
    <w:rsid w:val="002D6CA8"/>
    <w:pPr>
      <w:spacing w:before="120" w:after="100" w:line="360" w:lineRule="auto"/>
      <w:ind w:left="240"/>
    </w:pPr>
  </w:style>
  <w:style w:type="paragraph" w:styleId="TOCHeading">
    <w:name w:val="TOC Heading"/>
    <w:basedOn w:val="Heading1"/>
    <w:next w:val="Normal"/>
    <w:uiPriority w:val="39"/>
    <w:unhideWhenUsed/>
    <w:qFormat/>
    <w:rsid w:val="002D6CA8"/>
    <w:pPr>
      <w:keepNext/>
      <w:keepLines/>
      <w:widowControl/>
      <w:suppressAutoHyphens w:val="0"/>
      <w:spacing w:before="24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paragraph" w:styleId="TOC3">
    <w:name w:val="toc 3"/>
    <w:basedOn w:val="Normal"/>
    <w:next w:val="Normal"/>
    <w:autoRedefine/>
    <w:uiPriority w:val="39"/>
    <w:unhideWhenUsed/>
    <w:rsid w:val="00C57B1B"/>
    <w:pPr>
      <w:widowControl/>
      <w:suppressAutoHyphens w:val="0"/>
      <w:spacing w:after="100" w:line="259" w:lineRule="auto"/>
      <w:ind w:left="440"/>
    </w:pPr>
    <w:rPr>
      <w:rFonts w:asciiTheme="minorHAnsi" w:eastAsiaTheme="minorEastAsia" w:hAnsiTheme="minorHAnsi" w:cs="Times New Roman"/>
      <w:snapToGrid/>
      <w:sz w:val="22"/>
      <w:szCs w:val="22"/>
      <w:lang w:eastAsia="ja-JP"/>
    </w:rPr>
  </w:style>
  <w:style w:type="paragraph" w:styleId="Revision">
    <w:name w:val="Revision"/>
    <w:hidden/>
    <w:uiPriority w:val="99"/>
    <w:semiHidden/>
    <w:rsid w:val="00676BB9"/>
    <w:rPr>
      <w:rFonts w:ascii="Arial" w:eastAsia="Times New Roman" w:hAnsi="Arial" w:cs="Arial"/>
      <w:snapToGrid w:val="0"/>
      <w:szCs w:val="20"/>
      <w:lang w:val="en-GB"/>
    </w:rPr>
  </w:style>
  <w:style w:type="character" w:styleId="CommentReference">
    <w:name w:val="annotation reference"/>
    <w:basedOn w:val="DefaultParagraphFont"/>
    <w:uiPriority w:val="99"/>
    <w:semiHidden/>
    <w:unhideWhenUsed/>
    <w:rsid w:val="00F51739"/>
    <w:rPr>
      <w:sz w:val="16"/>
      <w:szCs w:val="16"/>
    </w:rPr>
  </w:style>
  <w:style w:type="paragraph" w:styleId="CommentText">
    <w:name w:val="annotation text"/>
    <w:basedOn w:val="Normal"/>
    <w:link w:val="CommentTextChar"/>
    <w:uiPriority w:val="99"/>
    <w:unhideWhenUsed/>
    <w:rsid w:val="00F51739"/>
    <w:rPr>
      <w:sz w:val="20"/>
    </w:rPr>
  </w:style>
  <w:style w:type="character" w:customStyle="1" w:styleId="CommentTextChar">
    <w:name w:val="Comment Text Char"/>
    <w:basedOn w:val="DefaultParagraphFont"/>
    <w:link w:val="CommentText"/>
    <w:uiPriority w:val="99"/>
    <w:rsid w:val="00F51739"/>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F51739"/>
    <w:rPr>
      <w:b/>
      <w:bCs/>
    </w:rPr>
  </w:style>
  <w:style w:type="character" w:customStyle="1" w:styleId="CommentSubjectChar">
    <w:name w:val="Comment Subject Char"/>
    <w:basedOn w:val="CommentTextChar"/>
    <w:link w:val="CommentSubject"/>
    <w:uiPriority w:val="99"/>
    <w:semiHidden/>
    <w:rsid w:val="00F51739"/>
    <w:rPr>
      <w:rFonts w:ascii="Arial" w:eastAsia="Times New Roman" w:hAnsi="Arial" w:cs="Arial"/>
      <w:b/>
      <w:bCs/>
      <w:snapToGrid w:val="0"/>
      <w:sz w:val="20"/>
      <w:szCs w:val="20"/>
      <w:lang w:val="en-GB"/>
    </w:rPr>
  </w:style>
  <w:style w:type="character" w:styleId="Mention">
    <w:name w:val="Mention"/>
    <w:basedOn w:val="DefaultParagraphFont"/>
    <w:uiPriority w:val="99"/>
    <w:unhideWhenUsed/>
    <w:rsid w:val="00E552FA"/>
    <w:rPr>
      <w:color w:val="2B579A"/>
      <w:shd w:val="clear" w:color="auto" w:fill="E1DFDD"/>
    </w:rPr>
  </w:style>
  <w:style w:type="character" w:styleId="UnresolvedMention">
    <w:name w:val="Unresolved Mention"/>
    <w:basedOn w:val="DefaultParagraphFont"/>
    <w:uiPriority w:val="99"/>
    <w:semiHidden/>
    <w:unhideWhenUsed/>
    <w:rsid w:val="003C0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londonmet.ac.uk/your-studies/student-administration/rules-and-regulations/academic-regulations/" TargetMode="External"/><Relationship Id="rId18" Type="http://schemas.openxmlformats.org/officeDocument/2006/relationships/hyperlink" Target="https://student.londonmet.ac.uk/international/international-support-team/visa-conditions-during-your-stud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udent.londonmet.ac.uk/international/international-support-team/who-we-are/" TargetMode="External"/><Relationship Id="rId7" Type="http://schemas.openxmlformats.org/officeDocument/2006/relationships/settings" Target="settings.xml"/><Relationship Id="rId12" Type="http://schemas.openxmlformats.org/officeDocument/2006/relationships/hyperlink" Target="https://student.londonmet.ac.uk/your-studies/student-administration/rules-and-regulations/attendance-and-engagement-/" TargetMode="External"/><Relationship Id="rId17" Type="http://schemas.openxmlformats.org/officeDocument/2006/relationships/hyperlink" Target="https://student.londonmet.ac.uk/international/international-support-team/who-we-ar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udent.londonmet.ac.uk/your-studies/student-administration/rules-and-regulations/appeals/" TargetMode="External"/><Relationship Id="rId20" Type="http://schemas.openxmlformats.org/officeDocument/2006/relationships/hyperlink" Target="https://student.londonmet.ac.uk/international/international-support-team/who-we-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met.ac.uk/courses/our-collaborative-partnership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tudent.londonmet.ac.uk/international/international-support-team/who-we-a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tudent.londonmet.ac.uk/international/international-support-team/visa-conditions-during-your-stud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londonmet.ac.uk/your-studies/student-administration/rules-and-regulations/academic-regulations/" TargetMode="External"/><Relationship Id="rId22" Type="http://schemas.openxmlformats.org/officeDocument/2006/relationships/hyperlink" Target="https://student.londonmet.ac.uk/international/international-support-team/visa-conditions-during-your-studi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tj1\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817dd25513dec7c9364536a068e65eae">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43b0724f6addd434eeec82e955b789bc"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668d82-caa7-449c-b93b-fe4c9042d266}"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49515-6EFE-4EB3-B989-EFDF230A262E}">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2.xml><?xml version="1.0" encoding="utf-8"?>
<ds:datastoreItem xmlns:ds="http://schemas.openxmlformats.org/officeDocument/2006/customXml" ds:itemID="{0F64558D-9AFA-4EA3-9567-B09876B9E19E}">
  <ds:schemaRefs>
    <ds:schemaRef ds:uri="http://schemas.microsoft.com/sharepoint/v3/contenttype/forms"/>
  </ds:schemaRefs>
</ds:datastoreItem>
</file>

<file path=customXml/itemProps3.xml><?xml version="1.0" encoding="utf-8"?>
<ds:datastoreItem xmlns:ds="http://schemas.openxmlformats.org/officeDocument/2006/customXml" ds:itemID="{C8ADFCB1-A242-4AC3-BB32-8CF809230E19}">
  <ds:schemaRefs>
    <ds:schemaRef ds:uri="http://schemas.openxmlformats.org/officeDocument/2006/bibliography"/>
  </ds:schemaRefs>
</ds:datastoreItem>
</file>

<file path=customXml/itemProps4.xml><?xml version="1.0" encoding="utf-8"?>
<ds:datastoreItem xmlns:ds="http://schemas.openxmlformats.org/officeDocument/2006/customXml" ds:itemID="{67AC5873-DF6D-471F-B155-C95D2414E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template with cover sheet.dotx</Template>
  <TotalTime>0</TotalTime>
  <Pages>8</Pages>
  <Words>2184</Words>
  <Characters>12452</Characters>
  <Application>Microsoft Office Word</Application>
  <DocSecurity>8</DocSecurity>
  <Lines>103</Lines>
  <Paragraphs>29</Paragraphs>
  <ScaleCrop>false</ScaleCrop>
  <Manager/>
  <Company>London Metropolitan University</Company>
  <LinksUpToDate>false</LinksUpToDate>
  <CharactersWithSpaces>14607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Appleton</dc:creator>
  <cp:keywords/>
  <dc:description/>
  <cp:lastModifiedBy>Gillian Veschini</cp:lastModifiedBy>
  <cp:revision>113</cp:revision>
  <cp:lastPrinted>2015-06-12T22:41:00Z</cp:lastPrinted>
  <dcterms:created xsi:type="dcterms:W3CDTF">2025-07-14T20:33:00Z</dcterms:created>
  <dcterms:modified xsi:type="dcterms:W3CDTF">2025-08-06T09:52:00Z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ies>
</file>