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A65C52" w:rsidR="00D1010D" w:rsidRDefault="00D1010D" w14:paraId="01D2B4C8" w14:textId="42BA110E">
      <w:pPr>
        <w:rPr>
          <w:rFonts w:ascii="Arial" w:hAnsi="Arial" w:cs="Arial"/>
          <w:sz w:val="22"/>
          <w:szCs w:val="22"/>
        </w:rPr>
      </w:pPr>
    </w:p>
    <w:p w:rsidRPr="00A65C52" w:rsidR="00A65C52" w:rsidP="000B25BE" w:rsidRDefault="003F4911" w14:paraId="0F64F8C8" w14:textId="28A196DE">
      <w:pPr>
        <w:tabs>
          <w:tab w:val="left" w:pos="184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Pr="00A65C52" w:rsidR="00A65C52" w:rsidRDefault="00A65C52" w14:paraId="7B140004" w14:textId="771351E2">
      <w:pPr>
        <w:rPr>
          <w:rFonts w:ascii="Arial" w:hAnsi="Arial" w:cs="Arial"/>
          <w:sz w:val="22"/>
          <w:szCs w:val="22"/>
        </w:rPr>
      </w:pPr>
    </w:p>
    <w:p w:rsidRPr="00A65C52" w:rsidR="00A65C52" w:rsidRDefault="00A65C52" w14:paraId="3B393799" w14:textId="5657124B">
      <w:pPr>
        <w:rPr>
          <w:rFonts w:ascii="Arial" w:hAnsi="Arial" w:cs="Arial"/>
          <w:b/>
          <w:sz w:val="22"/>
          <w:szCs w:val="22"/>
        </w:rPr>
      </w:pPr>
      <w:r w:rsidRPr="00A65C52">
        <w:rPr>
          <w:rFonts w:ascii="Arial" w:hAnsi="Arial" w:cs="Arial"/>
          <w:b/>
          <w:szCs w:val="22"/>
        </w:rPr>
        <w:t>AQD</w:t>
      </w:r>
      <w:r w:rsidR="0046223B">
        <w:rPr>
          <w:rFonts w:ascii="Arial" w:hAnsi="Arial" w:cs="Arial"/>
          <w:b/>
          <w:szCs w:val="22"/>
        </w:rPr>
        <w:t>015</w:t>
      </w:r>
      <w:r w:rsidRPr="00A65C52">
        <w:rPr>
          <w:rFonts w:ascii="Arial" w:hAnsi="Arial" w:cs="Arial"/>
          <w:b/>
          <w:szCs w:val="22"/>
        </w:rPr>
        <w:t xml:space="preserve"> – QAA Subject </w:t>
      </w:r>
      <w:r w:rsidR="004E7009">
        <w:rPr>
          <w:rFonts w:ascii="Arial" w:hAnsi="Arial" w:cs="Arial"/>
          <w:b/>
          <w:szCs w:val="22"/>
        </w:rPr>
        <w:t>Benchmark</w:t>
      </w:r>
      <w:r w:rsidRPr="00A65C52">
        <w:rPr>
          <w:rFonts w:ascii="Arial" w:hAnsi="Arial" w:cs="Arial"/>
          <w:b/>
          <w:szCs w:val="22"/>
        </w:rPr>
        <w:t xml:space="preserve"> Mapping </w:t>
      </w:r>
    </w:p>
    <w:p w:rsidRPr="00A65C52" w:rsidR="00A65C52" w:rsidRDefault="00A65C52" w14:paraId="035687A0" w14:textId="6AE7C034">
      <w:pPr>
        <w:rPr>
          <w:rFonts w:ascii="Arial" w:hAnsi="Arial" w:cs="Arial"/>
          <w:sz w:val="22"/>
          <w:szCs w:val="22"/>
        </w:rPr>
      </w:pPr>
    </w:p>
    <w:p w:rsidR="00A65C52" w:rsidRDefault="00A65C52" w14:paraId="22D6BC96" w14:textId="55FD0352">
      <w:pPr>
        <w:rPr>
          <w:rFonts w:ascii="Arial" w:hAnsi="Arial" w:cs="Arial"/>
          <w:sz w:val="22"/>
          <w:szCs w:val="22"/>
        </w:rPr>
      </w:pPr>
      <w:r w:rsidRPr="496096D2" w:rsidR="00A65C52">
        <w:rPr>
          <w:rFonts w:ascii="Arial" w:hAnsi="Arial" w:cs="Arial"/>
          <w:i w:val="1"/>
          <w:iCs w:val="1"/>
          <w:color w:val="2E74B5" w:themeColor="accent1" w:themeTint="FF" w:themeShade="BF"/>
          <w:sz w:val="22"/>
          <w:szCs w:val="22"/>
        </w:rPr>
        <w:t xml:space="preserve">This document </w:t>
      </w:r>
      <w:r w:rsidRPr="496096D2" w:rsidR="00A65C52">
        <w:rPr>
          <w:rFonts w:ascii="Arial" w:hAnsi="Arial" w:cs="Arial"/>
          <w:i w:val="1"/>
          <w:iCs w:val="1"/>
          <w:color w:val="2E74B5" w:themeColor="accent1" w:themeTint="FF" w:themeShade="BF"/>
          <w:sz w:val="22"/>
          <w:szCs w:val="22"/>
        </w:rPr>
        <w:t>identifies</w:t>
      </w:r>
      <w:r w:rsidRPr="496096D2" w:rsidR="00A65C52">
        <w:rPr>
          <w:rFonts w:ascii="Arial" w:hAnsi="Arial" w:cs="Arial"/>
          <w:i w:val="1"/>
          <w:iCs w:val="1"/>
          <w:color w:val="2E74B5" w:themeColor="accent1" w:themeTint="FF" w:themeShade="BF"/>
          <w:sz w:val="22"/>
          <w:szCs w:val="22"/>
        </w:rPr>
        <w:t xml:space="preserve"> how the S</w:t>
      </w:r>
      <w:r w:rsidRPr="496096D2" w:rsidR="1AAD6EA3">
        <w:rPr>
          <w:rFonts w:ascii="Arial" w:hAnsi="Arial" w:cs="Arial"/>
          <w:i w:val="1"/>
          <w:iCs w:val="1"/>
          <w:color w:val="2E74B5" w:themeColor="accent1" w:themeTint="FF" w:themeShade="BF"/>
          <w:sz w:val="22"/>
          <w:szCs w:val="22"/>
        </w:rPr>
        <w:t xml:space="preserve">ubject Benchmark Statement </w:t>
      </w:r>
      <w:r w:rsidRPr="496096D2" w:rsidR="00A65C52">
        <w:rPr>
          <w:rFonts w:ascii="Arial" w:hAnsi="Arial" w:cs="Arial"/>
          <w:i w:val="1"/>
          <w:iCs w:val="1"/>
          <w:color w:val="2E74B5" w:themeColor="accent1" w:themeTint="FF" w:themeShade="BF"/>
          <w:sz w:val="22"/>
          <w:szCs w:val="22"/>
        </w:rPr>
        <w:t>ha</w:t>
      </w:r>
      <w:r w:rsidRPr="496096D2" w:rsidR="360AF7DA">
        <w:rPr>
          <w:rFonts w:ascii="Arial" w:hAnsi="Arial" w:cs="Arial"/>
          <w:i w:val="1"/>
          <w:iCs w:val="1"/>
          <w:color w:val="2E74B5" w:themeColor="accent1" w:themeTint="FF" w:themeShade="BF"/>
          <w:sz w:val="22"/>
          <w:szCs w:val="22"/>
        </w:rPr>
        <w:t>s</w:t>
      </w:r>
      <w:r w:rsidRPr="496096D2" w:rsidR="00A65C52">
        <w:rPr>
          <w:rFonts w:ascii="Arial" w:hAnsi="Arial" w:cs="Arial"/>
          <w:i w:val="1"/>
          <w:iCs w:val="1"/>
          <w:color w:val="2E74B5" w:themeColor="accent1" w:themeTint="FF" w:themeShade="BF"/>
          <w:sz w:val="22"/>
          <w:szCs w:val="22"/>
        </w:rPr>
        <w:t xml:space="preserve"> been considered and integrated into course design. Course teams </w:t>
      </w:r>
      <w:r w:rsidRPr="496096D2" w:rsidR="00F108E5">
        <w:rPr>
          <w:rFonts w:ascii="Arial" w:hAnsi="Arial" w:cs="Arial"/>
          <w:i w:val="1"/>
          <w:iCs w:val="1"/>
          <w:color w:val="2E74B5" w:themeColor="accent1" w:themeTint="FF" w:themeShade="BF"/>
          <w:sz w:val="22"/>
          <w:szCs w:val="22"/>
        </w:rPr>
        <w:t>should</w:t>
      </w:r>
      <w:r w:rsidRPr="496096D2" w:rsidR="00A65C52">
        <w:rPr>
          <w:rFonts w:ascii="Arial" w:hAnsi="Arial" w:cs="Arial"/>
          <w:i w:val="1"/>
          <w:iCs w:val="1"/>
          <w:color w:val="2E74B5" w:themeColor="accent1" w:themeTint="FF" w:themeShade="BF"/>
          <w:sz w:val="22"/>
          <w:szCs w:val="22"/>
        </w:rPr>
        <w:t xml:space="preserve"> detail how the statement </w:t>
      </w:r>
      <w:r w:rsidRPr="496096D2" w:rsidR="01CDC9BF">
        <w:rPr>
          <w:rFonts w:ascii="Arial" w:hAnsi="Arial" w:cs="Arial"/>
          <w:i w:val="1"/>
          <w:iCs w:val="1"/>
          <w:color w:val="2E74B5" w:themeColor="accent1" w:themeTint="FF" w:themeShade="BF"/>
          <w:sz w:val="22"/>
          <w:szCs w:val="22"/>
        </w:rPr>
        <w:t>has</w:t>
      </w:r>
      <w:r w:rsidRPr="496096D2" w:rsidR="00A65C52">
        <w:rPr>
          <w:rFonts w:ascii="Arial" w:hAnsi="Arial" w:cs="Arial"/>
          <w:i w:val="1"/>
          <w:iCs w:val="1"/>
          <w:color w:val="2E74B5" w:themeColor="accent1" w:themeTint="FF" w:themeShade="BF"/>
          <w:sz w:val="22"/>
          <w:szCs w:val="22"/>
        </w:rPr>
        <w:t xml:space="preserve"> been considered and embedded into course and module level </w:t>
      </w:r>
      <w:r w:rsidRPr="496096D2" w:rsidR="00F108E5">
        <w:rPr>
          <w:rFonts w:ascii="Arial" w:hAnsi="Arial" w:cs="Arial"/>
          <w:i w:val="1"/>
          <w:iCs w:val="1"/>
          <w:color w:val="2E74B5" w:themeColor="accent1" w:themeTint="FF" w:themeShade="BF"/>
          <w:sz w:val="22"/>
          <w:szCs w:val="22"/>
        </w:rPr>
        <w:t xml:space="preserve">design, </w:t>
      </w:r>
      <w:r w:rsidRPr="496096D2" w:rsidR="6FE52CA8">
        <w:rPr>
          <w:rFonts w:ascii="Arial" w:hAnsi="Arial" w:cs="Arial"/>
          <w:i w:val="1"/>
          <w:iCs w:val="1"/>
          <w:color w:val="2E74B5" w:themeColor="accent1" w:themeTint="FF" w:themeShade="BF"/>
          <w:sz w:val="22"/>
          <w:szCs w:val="22"/>
        </w:rPr>
        <w:t>outcomes,</w:t>
      </w:r>
      <w:r w:rsidRPr="496096D2" w:rsidR="00A65C52">
        <w:rPr>
          <w:rFonts w:ascii="Arial" w:hAnsi="Arial" w:cs="Arial"/>
          <w:i w:val="1"/>
          <w:iCs w:val="1"/>
          <w:color w:val="2E74B5" w:themeColor="accent1" w:themeTint="FF" w:themeShade="BF"/>
          <w:sz w:val="22"/>
          <w:szCs w:val="22"/>
        </w:rPr>
        <w:t xml:space="preserve"> and syllabus. Subject benchmark statements </w:t>
      </w:r>
      <w:r w:rsidRPr="496096D2" w:rsidR="00F108E5">
        <w:rPr>
          <w:rFonts w:ascii="Arial" w:hAnsi="Arial" w:cs="Arial"/>
          <w:i w:val="1"/>
          <w:iCs w:val="1"/>
          <w:color w:val="2E74B5" w:themeColor="accent1" w:themeTint="FF" w:themeShade="BF"/>
          <w:sz w:val="22"/>
          <w:szCs w:val="22"/>
        </w:rPr>
        <w:t>are available</w:t>
      </w:r>
      <w:r w:rsidRPr="496096D2" w:rsidR="00A65C52">
        <w:rPr>
          <w:rFonts w:ascii="Arial" w:hAnsi="Arial" w:cs="Arial"/>
          <w:color w:val="2E74B5" w:themeColor="accent1" w:themeTint="FF" w:themeShade="BF"/>
          <w:sz w:val="22"/>
          <w:szCs w:val="22"/>
        </w:rPr>
        <w:t xml:space="preserve"> </w:t>
      </w:r>
      <w:hyperlink r:id="R3f770f0b626540f9">
        <w:r w:rsidRPr="496096D2" w:rsidR="00A65C52">
          <w:rPr>
            <w:rStyle w:val="Hyperlink"/>
            <w:rFonts w:ascii="Arial" w:hAnsi="Arial" w:cs="Arial"/>
            <w:sz w:val="22"/>
            <w:szCs w:val="22"/>
          </w:rPr>
          <w:t>here</w:t>
        </w:r>
      </w:hyperlink>
      <w:r w:rsidRPr="496096D2" w:rsidR="00A65C52">
        <w:rPr>
          <w:rFonts w:ascii="Arial" w:hAnsi="Arial" w:cs="Arial"/>
          <w:sz w:val="22"/>
          <w:szCs w:val="22"/>
        </w:rPr>
        <w:t xml:space="preserve">. </w:t>
      </w:r>
    </w:p>
    <w:p w:rsidRPr="00A65C52" w:rsidR="00A65C52" w:rsidRDefault="00A65C52" w14:paraId="09E57087" w14:textId="421A9A9F">
      <w:pPr>
        <w:rPr>
          <w:rFonts w:ascii="Arial" w:hAnsi="Arial" w:cs="Arial"/>
          <w:i/>
          <w:color w:val="2E74B5" w:themeColor="accent1" w:themeShade="BF"/>
          <w:sz w:val="22"/>
          <w:szCs w:val="22"/>
        </w:rPr>
      </w:pPr>
    </w:p>
    <w:p w:rsidRPr="00A65C52" w:rsidR="00A65C52" w:rsidP="496096D2" w:rsidRDefault="00A65C52" w14:paraId="11AAACB7" w14:textId="7E0771B1">
      <w:pPr>
        <w:rPr>
          <w:rFonts w:ascii="Arial" w:hAnsi="Arial" w:cs="Arial"/>
          <w:i w:val="1"/>
          <w:iCs w:val="1"/>
          <w:color w:val="2E74B5" w:themeColor="accent1" w:themeShade="BF"/>
          <w:sz w:val="22"/>
          <w:szCs w:val="22"/>
        </w:rPr>
      </w:pPr>
      <w:r w:rsidRPr="496096D2" w:rsidR="00A65C52">
        <w:rPr>
          <w:rFonts w:ascii="Arial" w:hAnsi="Arial" w:cs="Arial"/>
          <w:i w:val="1"/>
          <w:iCs w:val="1"/>
          <w:color w:val="2E74B5" w:themeColor="accent1" w:themeTint="FF" w:themeShade="BF"/>
          <w:sz w:val="22"/>
          <w:szCs w:val="22"/>
        </w:rPr>
        <w:t xml:space="preserve">NB: any blue text is guidance text for consideration and </w:t>
      </w:r>
      <w:r w:rsidRPr="496096D2" w:rsidR="01F1AD7B">
        <w:rPr>
          <w:rFonts w:ascii="Arial" w:hAnsi="Arial" w:cs="Arial"/>
          <w:i w:val="1"/>
          <w:iCs w:val="1"/>
          <w:color w:val="2E74B5" w:themeColor="accent1" w:themeTint="FF" w:themeShade="BF"/>
          <w:sz w:val="22"/>
          <w:szCs w:val="22"/>
        </w:rPr>
        <w:t>action and</w:t>
      </w:r>
      <w:r w:rsidRPr="496096D2" w:rsidR="00A65C52">
        <w:rPr>
          <w:rFonts w:ascii="Arial" w:hAnsi="Arial" w:cs="Arial"/>
          <w:i w:val="1"/>
          <w:iCs w:val="1"/>
          <w:color w:val="2E74B5" w:themeColor="accent1" w:themeTint="FF" w:themeShade="BF"/>
          <w:sz w:val="22"/>
          <w:szCs w:val="22"/>
        </w:rPr>
        <w:t xml:space="preserve"> should be removed before being </w:t>
      </w:r>
      <w:r w:rsidRPr="496096D2" w:rsidR="00A65C52">
        <w:rPr>
          <w:rFonts w:ascii="Arial" w:hAnsi="Arial" w:cs="Arial"/>
          <w:i w:val="1"/>
          <w:iCs w:val="1"/>
          <w:color w:val="2E74B5" w:themeColor="accent1" w:themeTint="FF" w:themeShade="BF"/>
          <w:sz w:val="22"/>
          <w:szCs w:val="22"/>
        </w:rPr>
        <w:t>submitted</w:t>
      </w:r>
      <w:r w:rsidRPr="496096D2" w:rsidR="00A65C52">
        <w:rPr>
          <w:rFonts w:ascii="Arial" w:hAnsi="Arial" w:cs="Arial"/>
          <w:i w:val="1"/>
          <w:iCs w:val="1"/>
          <w:color w:val="2E74B5" w:themeColor="accent1" w:themeTint="FF" w:themeShade="BF"/>
          <w:sz w:val="22"/>
          <w:szCs w:val="22"/>
        </w:rPr>
        <w:t xml:space="preserve"> to AQD. </w:t>
      </w:r>
    </w:p>
    <w:p w:rsidRPr="00A65C52" w:rsidR="00A65C52" w:rsidRDefault="00A65C52" w14:paraId="4EA43E6A" w14:textId="0DFB584E">
      <w:pPr>
        <w:rPr>
          <w:rFonts w:ascii="Arial" w:hAnsi="Arial" w:cs="Arial"/>
          <w:sz w:val="22"/>
          <w:szCs w:val="22"/>
        </w:rPr>
      </w:pPr>
    </w:p>
    <w:p w:rsidRPr="00A65C52" w:rsidR="00A65C52" w:rsidP="496096D2" w:rsidRDefault="00A65C52" w14:paraId="7B9B85B0" w14:textId="357046AA" w14:noSpellErr="1">
      <w:pPr>
        <w:rPr>
          <w:rFonts w:ascii="Arial" w:hAnsi="Arial" w:cs="Arial"/>
          <w:i w:val="1"/>
          <w:iCs w:val="1"/>
          <w:color w:val="2E74B5" w:themeColor="accent1" w:themeShade="BF"/>
          <w:sz w:val="22"/>
          <w:szCs w:val="22"/>
        </w:rPr>
      </w:pPr>
      <w:r w:rsidRPr="496096D2" w:rsidR="00A65C52">
        <w:rPr>
          <w:rFonts w:ascii="Arial" w:hAnsi="Arial" w:cs="Arial"/>
          <w:b w:val="1"/>
          <w:bCs w:val="1"/>
          <w:sz w:val="22"/>
          <w:szCs w:val="22"/>
        </w:rPr>
        <w:t xml:space="preserve">Course Title(s): </w:t>
      </w:r>
      <w:bookmarkStart w:name="_Int_g6oM3hrl" w:id="1830512372"/>
      <w:r w:rsidRPr="496096D2" w:rsidR="00A65C52">
        <w:rPr>
          <w:rFonts w:ascii="Arial" w:hAnsi="Arial" w:cs="Arial"/>
          <w:i w:val="1"/>
          <w:iCs w:val="1"/>
          <w:color w:val="2E74B5" w:themeColor="accent1" w:themeTint="FF" w:themeShade="BF"/>
          <w:sz w:val="22"/>
          <w:szCs w:val="22"/>
        </w:rPr>
        <w:t>i.e.</w:t>
      </w:r>
      <w:bookmarkEnd w:id="1830512372"/>
      <w:r w:rsidRPr="496096D2" w:rsidR="00A65C52">
        <w:rPr>
          <w:rFonts w:ascii="Arial" w:hAnsi="Arial" w:cs="Arial"/>
          <w:i w:val="1"/>
          <w:iCs w:val="1"/>
          <w:color w:val="2E74B5" w:themeColor="accent1" w:themeTint="FF" w:themeShade="BF"/>
          <w:sz w:val="22"/>
          <w:szCs w:val="22"/>
        </w:rPr>
        <w:t xml:space="preserve"> BSc (Hons) Sports </w:t>
      </w:r>
    </w:p>
    <w:p w:rsidR="00A65C52" w:rsidP="00A65C52" w:rsidRDefault="00A65C52" w14:paraId="674EC208" w14:textId="77777777">
      <w:pPr>
        <w:rPr>
          <w:rFonts w:ascii="Arial" w:hAnsi="Arial" w:cs="Arial"/>
          <w:b/>
          <w:sz w:val="22"/>
          <w:szCs w:val="22"/>
        </w:rPr>
      </w:pPr>
    </w:p>
    <w:p w:rsidRPr="00A65C52" w:rsidR="00A65C52" w:rsidP="496096D2" w:rsidRDefault="00A65C52" w14:paraId="44158BB8" w14:textId="18649FAF" w14:noSpellErr="1">
      <w:pPr>
        <w:rPr>
          <w:rFonts w:ascii="Arial" w:hAnsi="Arial" w:cs="Arial"/>
          <w:i w:val="1"/>
          <w:iCs w:val="1"/>
          <w:color w:val="2E74B5" w:themeColor="accent1" w:themeShade="BF"/>
          <w:sz w:val="22"/>
          <w:szCs w:val="22"/>
        </w:rPr>
      </w:pPr>
      <w:r w:rsidRPr="496096D2" w:rsidR="00A65C52">
        <w:rPr>
          <w:rFonts w:ascii="Arial" w:hAnsi="Arial" w:cs="Arial"/>
          <w:b w:val="1"/>
          <w:bCs w:val="1"/>
          <w:sz w:val="22"/>
          <w:szCs w:val="22"/>
        </w:rPr>
        <w:t>Name of Subject Benchmark Statement</w:t>
      </w:r>
      <w:r w:rsidRPr="496096D2" w:rsidR="00A65C52">
        <w:rPr>
          <w:rFonts w:ascii="Arial" w:hAnsi="Arial" w:cs="Arial"/>
          <w:sz w:val="22"/>
          <w:szCs w:val="22"/>
        </w:rPr>
        <w:t xml:space="preserve">: </w:t>
      </w:r>
      <w:bookmarkStart w:name="_Int_CYiu5O26" w:id="607951225"/>
      <w:r w:rsidRPr="496096D2" w:rsidR="00A65C52">
        <w:rPr>
          <w:rFonts w:ascii="Arial" w:hAnsi="Arial" w:cs="Arial"/>
          <w:i w:val="1"/>
          <w:iCs w:val="1"/>
          <w:color w:val="2E74B5" w:themeColor="accent1" w:themeTint="FF" w:themeShade="BF"/>
          <w:sz w:val="22"/>
          <w:szCs w:val="22"/>
        </w:rPr>
        <w:t>i.e.</w:t>
      </w:r>
      <w:bookmarkEnd w:id="607951225"/>
      <w:r w:rsidRPr="496096D2" w:rsidR="00A65C52">
        <w:rPr>
          <w:rFonts w:ascii="Arial" w:hAnsi="Arial" w:cs="Arial"/>
          <w:i w:val="1"/>
          <w:iCs w:val="1"/>
          <w:color w:val="2E74B5" w:themeColor="accent1" w:themeTint="FF" w:themeShade="BF"/>
          <w:sz w:val="22"/>
          <w:szCs w:val="22"/>
        </w:rPr>
        <w:t xml:space="preserve"> Events, Hospitality, Leisure, </w:t>
      </w:r>
      <w:bookmarkStart w:name="_Int_jUJHzfjl" w:id="1692176576"/>
      <w:r w:rsidRPr="496096D2" w:rsidR="00A65C52">
        <w:rPr>
          <w:rFonts w:ascii="Arial" w:hAnsi="Arial" w:cs="Arial"/>
          <w:i w:val="1"/>
          <w:iCs w:val="1"/>
          <w:color w:val="2E74B5" w:themeColor="accent1" w:themeTint="FF" w:themeShade="BF"/>
          <w:sz w:val="22"/>
          <w:szCs w:val="22"/>
        </w:rPr>
        <w:t>Sport</w:t>
      </w:r>
      <w:bookmarkEnd w:id="1692176576"/>
      <w:r w:rsidRPr="496096D2" w:rsidR="00A65C52">
        <w:rPr>
          <w:rFonts w:ascii="Arial" w:hAnsi="Arial" w:cs="Arial"/>
          <w:i w:val="1"/>
          <w:iCs w:val="1"/>
          <w:color w:val="2E74B5" w:themeColor="accent1" w:themeTint="FF" w:themeShade="BF"/>
          <w:sz w:val="22"/>
          <w:szCs w:val="22"/>
        </w:rPr>
        <w:t xml:space="preserve"> and Tourism (2016)</w:t>
      </w:r>
    </w:p>
    <w:p w:rsidR="00A65C52" w:rsidRDefault="00A65C52" w14:paraId="7E775C1C" w14:textId="68FB5214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13178" w:type="dxa"/>
        <w:tblLook w:val="04A0" w:firstRow="1" w:lastRow="0" w:firstColumn="1" w:lastColumn="0" w:noHBand="0" w:noVBand="1"/>
      </w:tblPr>
      <w:tblGrid>
        <w:gridCol w:w="5240"/>
        <w:gridCol w:w="7938"/>
      </w:tblGrid>
      <w:tr w:rsidR="00A65C52" w:rsidTr="496096D2" w14:paraId="45006325" w14:textId="77777777">
        <w:tc>
          <w:tcPr>
            <w:tcW w:w="5240" w:type="dxa"/>
            <w:shd w:val="clear" w:color="auto" w:fill="D9D9D9" w:themeFill="background1" w:themeFillShade="D9"/>
            <w:tcMar/>
          </w:tcPr>
          <w:p w:rsidRPr="00A65C52" w:rsidR="00A65C52" w:rsidRDefault="00A65C52" w14:paraId="6B975381" w14:textId="132BBF1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65C52">
              <w:rPr>
                <w:rFonts w:ascii="Arial" w:hAnsi="Arial" w:cs="Arial"/>
                <w:b/>
                <w:sz w:val="22"/>
                <w:szCs w:val="22"/>
              </w:rPr>
              <w:t>Subject Benchmark Statement</w:t>
            </w:r>
          </w:p>
        </w:tc>
        <w:tc>
          <w:tcPr>
            <w:tcW w:w="7938" w:type="dxa"/>
            <w:shd w:val="clear" w:color="auto" w:fill="D9D9D9" w:themeFill="background1" w:themeFillShade="D9"/>
            <w:tcMar/>
          </w:tcPr>
          <w:p w:rsidRPr="00A65C52" w:rsidR="00A65C52" w:rsidRDefault="00A65C52" w14:paraId="276B6B95" w14:textId="0A149F1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65C52">
              <w:rPr>
                <w:rFonts w:ascii="Arial" w:hAnsi="Arial" w:cs="Arial"/>
                <w:b/>
                <w:sz w:val="22"/>
                <w:szCs w:val="22"/>
              </w:rPr>
              <w:t>Mapping to Course(s) and Module(s)</w:t>
            </w:r>
          </w:p>
        </w:tc>
      </w:tr>
      <w:tr w:rsidR="00A65C52" w:rsidTr="496096D2" w14:paraId="5D8616D5" w14:textId="77777777">
        <w:tc>
          <w:tcPr>
            <w:tcW w:w="5240" w:type="dxa"/>
            <w:tcMar/>
          </w:tcPr>
          <w:p w:rsidRPr="00A65C52" w:rsidR="00A65C52" w:rsidP="496096D2" w:rsidRDefault="00A65C52" w14:paraId="3AE86D37" w14:textId="044F6F31">
            <w:pPr>
              <w:rPr>
                <w:rFonts w:ascii="Arial" w:hAnsi="Arial" w:cs="Arial"/>
                <w:i w:val="1"/>
                <w:iCs w:val="1"/>
                <w:sz w:val="22"/>
                <w:szCs w:val="22"/>
              </w:rPr>
            </w:pPr>
            <w:r w:rsidRPr="496096D2" w:rsidR="00A65C52">
              <w:rPr>
                <w:rFonts w:ascii="Arial" w:hAnsi="Arial" w:cs="Arial"/>
                <w:i w:val="1"/>
                <w:iCs w:val="1"/>
                <w:color w:val="2E74B5" w:themeColor="accent1" w:themeTint="FF" w:themeShade="BF"/>
                <w:sz w:val="22"/>
                <w:szCs w:val="22"/>
              </w:rPr>
              <w:t xml:space="preserve">i.e. </w:t>
            </w:r>
            <w:r w:rsidRPr="496096D2" w:rsidR="00A65C52">
              <w:rPr>
                <w:rFonts w:ascii="Arial" w:hAnsi="Arial" w:cs="Arial"/>
                <w:i w:val="1"/>
                <w:iCs w:val="1"/>
                <w:color w:val="2E74B5" w:themeColor="accent1" w:themeTint="FF" w:themeShade="BF"/>
              </w:rPr>
              <w:t xml:space="preserve">6.16 An </w:t>
            </w:r>
            <w:r w:rsidRPr="496096D2" w:rsidR="33E5E7B0">
              <w:rPr>
                <w:rFonts w:ascii="Arial" w:hAnsi="Arial" w:cs="Arial"/>
                <w:i w:val="1"/>
                <w:iCs w:val="1"/>
                <w:color w:val="2E74B5" w:themeColor="accent1" w:themeTint="FF" w:themeShade="BF"/>
              </w:rPr>
              <w:t>H</w:t>
            </w:r>
            <w:r w:rsidRPr="496096D2" w:rsidR="00A65C52">
              <w:rPr>
                <w:rFonts w:ascii="Arial" w:hAnsi="Arial" w:cs="Arial"/>
                <w:i w:val="1"/>
                <w:iCs w:val="1"/>
                <w:color w:val="2E74B5" w:themeColor="accent1" w:themeTint="FF" w:themeShade="BF"/>
              </w:rPr>
              <w:t>onours</w:t>
            </w:r>
            <w:r w:rsidRPr="496096D2" w:rsidR="00A65C52">
              <w:rPr>
                <w:rFonts w:ascii="Arial" w:hAnsi="Arial" w:cs="Arial"/>
                <w:i w:val="1"/>
                <w:iCs w:val="1"/>
                <w:color w:val="2E74B5" w:themeColor="accent1" w:themeTint="FF" w:themeShade="BF"/>
              </w:rPr>
              <w:t xml:space="preserve"> graduate in </w:t>
            </w:r>
            <w:r w:rsidRPr="496096D2" w:rsidR="6D77F659">
              <w:rPr>
                <w:rFonts w:ascii="Arial" w:hAnsi="Arial" w:cs="Arial"/>
                <w:i w:val="1"/>
                <w:iCs w:val="1"/>
                <w:color w:val="2E74B5" w:themeColor="accent1" w:themeTint="FF" w:themeShade="BF"/>
              </w:rPr>
              <w:t>Sport-related</w:t>
            </w:r>
            <w:r w:rsidRPr="496096D2" w:rsidR="00A65C52">
              <w:rPr>
                <w:rFonts w:ascii="Arial" w:hAnsi="Arial" w:cs="Arial"/>
                <w:i w:val="1"/>
                <w:iCs w:val="1"/>
                <w:color w:val="2E74B5" w:themeColor="accent1" w:themeTint="FF" w:themeShade="BF"/>
              </w:rPr>
              <w:t xml:space="preserve"> </w:t>
            </w:r>
            <w:r w:rsidRPr="496096D2" w:rsidR="00A65C52">
              <w:rPr>
                <w:rFonts w:ascii="Arial" w:hAnsi="Arial" w:cs="Arial"/>
                <w:i w:val="1"/>
                <w:iCs w:val="1"/>
                <w:color w:val="2E74B5" w:themeColor="accent1" w:themeTint="FF" w:themeShade="BF"/>
              </w:rPr>
              <w:t>programmes</w:t>
            </w:r>
            <w:r w:rsidRPr="496096D2" w:rsidR="00A65C52">
              <w:rPr>
                <w:rFonts w:ascii="Arial" w:hAnsi="Arial" w:cs="Arial"/>
                <w:i w:val="1"/>
                <w:iCs w:val="1"/>
                <w:color w:val="2E74B5" w:themeColor="accent1" w:themeTint="FF" w:themeShade="BF"/>
              </w:rPr>
              <w:t xml:space="preserve"> is able to critically appraise and evaluate sport in its social, health-related, environmental, managerial and/or performance contexts. </w:t>
            </w:r>
          </w:p>
        </w:tc>
        <w:tc>
          <w:tcPr>
            <w:tcW w:w="7938" w:type="dxa"/>
            <w:tcMar/>
          </w:tcPr>
          <w:p w:rsidRPr="00A65C52" w:rsidR="00A65C52" w:rsidP="496096D2" w:rsidRDefault="00A65C52" w14:paraId="01B2AA9B" w14:textId="00DB78CC" w14:noSpellErr="1">
            <w:pPr>
              <w:rPr>
                <w:rFonts w:ascii="Arial" w:hAnsi="Arial" w:cs="Arial"/>
                <w:i w:val="1"/>
                <w:iCs w:val="1"/>
                <w:color w:val="2E74B5" w:themeColor="accent1" w:themeShade="BF"/>
                <w:sz w:val="22"/>
                <w:szCs w:val="22"/>
              </w:rPr>
            </w:pPr>
            <w:bookmarkStart w:name="_Int_lJLVtUoB" w:id="415812754"/>
            <w:r w:rsidRPr="496096D2" w:rsidR="00A65C52">
              <w:rPr>
                <w:rFonts w:ascii="Arial" w:hAnsi="Arial" w:cs="Arial"/>
                <w:i w:val="1"/>
                <w:iCs w:val="1"/>
                <w:color w:val="2E74B5" w:themeColor="accent1" w:themeTint="FF" w:themeShade="BF"/>
                <w:sz w:val="22"/>
                <w:szCs w:val="22"/>
              </w:rPr>
              <w:t>i.e.</w:t>
            </w:r>
            <w:bookmarkEnd w:id="415812754"/>
            <w:r w:rsidRPr="496096D2" w:rsidR="00A65C52">
              <w:rPr>
                <w:rFonts w:ascii="Arial" w:hAnsi="Arial" w:cs="Arial"/>
                <w:i w:val="1"/>
                <w:iCs w:val="1"/>
                <w:color w:val="2E74B5" w:themeColor="accent1" w:themeTint="FF" w:themeShade="BF"/>
                <w:sz w:val="22"/>
                <w:szCs w:val="22"/>
              </w:rPr>
              <w:t xml:space="preserve"> This SBS has been integrated into Course Learning outcome number 3, and in modules X, Y, and Z. Students will </w:t>
            </w:r>
            <w:r w:rsidRPr="496096D2" w:rsidR="00A65C52">
              <w:rPr>
                <w:rFonts w:ascii="Arial" w:hAnsi="Arial" w:cs="Arial"/>
                <w:i w:val="1"/>
                <w:iCs w:val="1"/>
                <w:color w:val="2E74B5" w:themeColor="accent1" w:themeTint="FF" w:themeShade="BF"/>
                <w:sz w:val="22"/>
                <w:szCs w:val="22"/>
              </w:rPr>
              <w:t>demonstrate</w:t>
            </w:r>
            <w:r w:rsidRPr="496096D2" w:rsidR="00A65C52">
              <w:rPr>
                <w:rFonts w:ascii="Arial" w:hAnsi="Arial" w:cs="Arial"/>
                <w:i w:val="1"/>
                <w:iCs w:val="1"/>
                <w:color w:val="2E74B5" w:themeColor="accent1" w:themeTint="FF" w:themeShade="BF"/>
                <w:sz w:val="22"/>
                <w:szCs w:val="22"/>
              </w:rPr>
              <w:t xml:space="preserve"> this by learning and developing skills in A, B, C areas and assessments E, F and G support this. </w:t>
            </w:r>
          </w:p>
        </w:tc>
      </w:tr>
      <w:tr w:rsidR="00A65C52" w:rsidTr="496096D2" w14:paraId="47D7AE21" w14:textId="77777777">
        <w:tc>
          <w:tcPr>
            <w:tcW w:w="5240" w:type="dxa"/>
            <w:tcMar/>
          </w:tcPr>
          <w:p w:rsidR="00A65C52" w:rsidRDefault="00A65C52" w14:paraId="7C26D5DF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8" w:type="dxa"/>
            <w:tcMar/>
          </w:tcPr>
          <w:p w:rsidR="00A65C52" w:rsidRDefault="00A65C52" w14:paraId="78E7CCCF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65C52" w:rsidTr="496096D2" w14:paraId="67EF1554" w14:textId="77777777">
        <w:tc>
          <w:tcPr>
            <w:tcW w:w="5240" w:type="dxa"/>
            <w:tcMar/>
          </w:tcPr>
          <w:p w:rsidR="00A65C52" w:rsidRDefault="00A65C52" w14:paraId="383FFC22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8" w:type="dxa"/>
            <w:tcMar/>
          </w:tcPr>
          <w:p w:rsidR="00A65C52" w:rsidRDefault="00A65C52" w14:paraId="09B87D85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65C52" w:rsidTr="496096D2" w14:paraId="4D1969A4" w14:textId="77777777">
        <w:tc>
          <w:tcPr>
            <w:tcW w:w="5240" w:type="dxa"/>
            <w:tcMar/>
          </w:tcPr>
          <w:p w:rsidR="00A65C52" w:rsidRDefault="00A65C52" w14:paraId="5A1228BB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8" w:type="dxa"/>
            <w:tcMar/>
          </w:tcPr>
          <w:p w:rsidR="00A65C52" w:rsidRDefault="00A65C52" w14:paraId="05B17962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65C52" w:rsidTr="496096D2" w14:paraId="0C616EE2" w14:textId="77777777">
        <w:tc>
          <w:tcPr>
            <w:tcW w:w="5240" w:type="dxa"/>
            <w:tcMar/>
          </w:tcPr>
          <w:p w:rsidR="00A65C52" w:rsidRDefault="00A65C52" w14:paraId="62F6921E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8" w:type="dxa"/>
            <w:tcMar/>
          </w:tcPr>
          <w:p w:rsidR="00A65C52" w:rsidRDefault="00A65C52" w14:paraId="28506510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65C52" w:rsidTr="496096D2" w14:paraId="3B9A817E" w14:textId="77777777">
        <w:tc>
          <w:tcPr>
            <w:tcW w:w="5240" w:type="dxa"/>
            <w:tcMar/>
          </w:tcPr>
          <w:p w:rsidR="00A65C52" w:rsidRDefault="00A65C52" w14:paraId="10E78795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8" w:type="dxa"/>
            <w:tcMar/>
          </w:tcPr>
          <w:p w:rsidR="00A65C52" w:rsidRDefault="00A65C52" w14:paraId="1D490A71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65C52" w:rsidTr="496096D2" w14:paraId="2DC4F88C" w14:textId="77777777">
        <w:tc>
          <w:tcPr>
            <w:tcW w:w="5240" w:type="dxa"/>
            <w:tcMar/>
          </w:tcPr>
          <w:p w:rsidR="00A65C52" w:rsidRDefault="00A65C52" w14:paraId="31668A87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8" w:type="dxa"/>
            <w:tcMar/>
          </w:tcPr>
          <w:p w:rsidR="00A65C52" w:rsidRDefault="00A65C52" w14:paraId="45DD2905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Pr="00A65C52" w:rsidR="00A65C52" w:rsidRDefault="00A65C52" w14:paraId="0C88B6BD" w14:textId="77777777">
      <w:pPr>
        <w:rPr>
          <w:rFonts w:ascii="Arial" w:hAnsi="Arial" w:cs="Arial"/>
          <w:sz w:val="22"/>
          <w:szCs w:val="22"/>
        </w:rPr>
      </w:pPr>
    </w:p>
    <w:sectPr w:rsidRPr="00A65C52" w:rsidR="00A65C52" w:rsidSect="00A65C52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85815" w:rsidP="001C7277" w:rsidRDefault="00885815" w14:paraId="63FF43AA" w14:textId="77777777">
      <w:r>
        <w:separator/>
      </w:r>
    </w:p>
  </w:endnote>
  <w:endnote w:type="continuationSeparator" w:id="0">
    <w:p w:rsidR="00885815" w:rsidP="001C7277" w:rsidRDefault="00885815" w14:paraId="20218BB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C7277" w:rsidR="001C7277" w:rsidP="001C7277" w:rsidRDefault="001C7277" w14:paraId="16E698E8" w14:textId="468FAE87">
    <w:pPr>
      <w:pStyle w:val="Footer"/>
      <w:rPr>
        <w:rFonts w:ascii="Arial" w:hAnsi="Arial" w:cs="Arial"/>
        <w:sz w:val="22"/>
        <w:szCs w:val="22"/>
      </w:rPr>
    </w:pPr>
    <w:r w:rsidRPr="38A24322" w:rsidR="38A24322">
      <w:rPr>
        <w:rFonts w:cs="Calibri" w:cstheme="minorAscii"/>
        <w:sz w:val="22"/>
        <w:szCs w:val="22"/>
      </w:rPr>
      <w:t>AQD</w:t>
    </w:r>
    <w:r w:rsidRPr="38A24322" w:rsidR="38A24322">
      <w:rPr>
        <w:rFonts w:cs="Calibri" w:cstheme="minorAscii"/>
        <w:sz w:val="22"/>
        <w:szCs w:val="22"/>
      </w:rPr>
      <w:t>015</w:t>
    </w:r>
    <w:r w:rsidRPr="38A24322" w:rsidR="38A24322">
      <w:rPr>
        <w:rFonts w:cs="Calibri" w:cstheme="minorAscii"/>
        <w:sz w:val="22"/>
        <w:szCs w:val="22"/>
      </w:rPr>
      <w:t xml:space="preserve"> </w:t>
    </w:r>
    <w:r w:rsidRPr="38A24322" w:rsidR="38A24322">
      <w:rPr>
        <w:rFonts w:cs="Calibri" w:cstheme="minorAscii"/>
        <w:sz w:val="22"/>
        <w:szCs w:val="22"/>
      </w:rPr>
      <w:t xml:space="preserve">QAA Subject Benchmark Mapping </w:t>
    </w:r>
    <w:r w:rsidRPr="38A24322" w:rsidR="38A24322">
      <w:rPr>
        <w:rFonts w:cs="Calibri" w:cstheme="minorAscii"/>
        <w:sz w:val="22"/>
        <w:szCs w:val="22"/>
      </w:rPr>
      <w:t>20</w:t>
    </w:r>
    <w:r w:rsidRPr="38A24322" w:rsidR="38A24322">
      <w:rPr>
        <w:rFonts w:cs="Calibri" w:cstheme="minorAscii"/>
        <w:sz w:val="22"/>
        <w:szCs w:val="22"/>
      </w:rPr>
      <w:t>2</w:t>
    </w:r>
    <w:r w:rsidRPr="38A24322" w:rsidR="38A24322">
      <w:rPr>
        <w:rFonts w:cs="Calibri" w:cstheme="minorAscii"/>
        <w:sz w:val="22"/>
        <w:szCs w:val="22"/>
      </w:rPr>
      <w:t>5</w:t>
    </w:r>
    <w:r w:rsidRPr="38A24322" w:rsidR="38A24322">
      <w:rPr>
        <w:rFonts w:cs="Calibri" w:cstheme="minorAscii"/>
        <w:sz w:val="22"/>
        <w:szCs w:val="22"/>
      </w:rPr>
      <w:t>/2</w:t>
    </w:r>
    <w:r w:rsidRPr="38A24322" w:rsidR="38A24322">
      <w:rPr>
        <w:rFonts w:cs="Calibri" w:cstheme="minorAscii"/>
        <w:sz w:val="22"/>
        <w:szCs w:val="22"/>
      </w:rPr>
      <w:t>6</w:t>
    </w:r>
    <w:r>
      <w:tab/>
    </w:r>
    <w:r>
      <w:tab/>
    </w:r>
    <w:r>
      <w:tab/>
    </w:r>
    <w:r>
      <w:tab/>
    </w:r>
    <w:r>
      <w:tab/>
    </w:r>
    <w:r>
      <w:tab/>
    </w:r>
    <w:r w:rsidRPr="38A24322">
      <w:rPr>
        <w:rFonts w:ascii="Arial" w:hAnsi="Arial" w:cs="Arial"/>
        <w:noProof/>
        <w:sz w:val="22"/>
        <w:szCs w:val="22"/>
      </w:rPr>
      <w:fldChar w:fldCharType="begin"/>
    </w:r>
    <w:r w:rsidRPr="38A24322">
      <w:rPr>
        <w:rFonts w:ascii="Arial" w:hAnsi="Arial" w:cs="Arial"/>
        <w:sz w:val="22"/>
        <w:szCs w:val="22"/>
      </w:rPr>
      <w:instrText xml:space="preserve"> PAGE   \* MERGEFORMAT </w:instrText>
    </w:r>
    <w:r w:rsidRPr="38A24322">
      <w:rPr>
        <w:rFonts w:ascii="Arial" w:hAnsi="Arial" w:cs="Arial"/>
        <w:sz w:val="22"/>
        <w:szCs w:val="22"/>
      </w:rPr>
      <w:fldChar w:fldCharType="separate"/>
    </w:r>
    <w:r w:rsidRPr="38A24322" w:rsidR="38A24322">
      <w:rPr>
        <w:rFonts w:ascii="Arial" w:hAnsi="Arial" w:cs="Arial"/>
        <w:noProof/>
        <w:sz w:val="22"/>
        <w:szCs w:val="22"/>
      </w:rPr>
      <w:t>1</w:t>
    </w:r>
    <w:r w:rsidRPr="38A24322">
      <w:rPr>
        <w:rFonts w:ascii="Arial" w:hAnsi="Arial" w:cs="Arial"/>
        <w:noProof/>
        <w:sz w:val="22"/>
        <w:szCs w:val="22"/>
      </w:rPr>
      <w:fldChar w:fldCharType="end"/>
    </w:r>
  </w:p>
  <w:p w:rsidR="001C7277" w:rsidRDefault="001C7277" w14:paraId="4BC02B46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85815" w:rsidP="001C7277" w:rsidRDefault="00885815" w14:paraId="6222A248" w14:textId="77777777">
      <w:r>
        <w:separator/>
      </w:r>
    </w:p>
  </w:footnote>
  <w:footnote w:type="continuationSeparator" w:id="0">
    <w:p w:rsidR="00885815" w:rsidP="001C7277" w:rsidRDefault="00885815" w14:paraId="72534AF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mc:Ignorable="w14 w15 w16se w16cid w16 w16cex w16sdtdh wp14">
  <w:p w:rsidR="003F4911" w:rsidRDefault="003F4911" w14:paraId="1111CD59" w14:textId="6D473A46">
    <w:pPr>
      <w:pStyle w:val="Header"/>
    </w:pPr>
    <w:r w:rsidRPr="00A65C52">
      <w:rPr>
        <w:rFonts w:ascii="Arial" w:hAnsi="Arial" w:cs="Arial"/>
        <w:noProof/>
        <w:sz w:val="22"/>
        <w:szCs w:val="22"/>
        <w:lang w:val="en-GB" w:eastAsia="en-GB"/>
      </w:rPr>
      <w:drawing>
        <wp:anchor distT="0" distB="0" distL="114300" distR="114300" simplePos="0" relativeHeight="251659264" behindDoc="1" locked="0" layoutInCell="1" allowOverlap="1" wp14:anchorId="609388F6" wp14:editId="44DD47AF">
          <wp:simplePos x="0" y="0"/>
          <wp:positionH relativeFrom="page">
            <wp:posOffset>895350</wp:posOffset>
          </wp:positionH>
          <wp:positionV relativeFrom="topMargin">
            <wp:align>bottom</wp:align>
          </wp:positionV>
          <wp:extent cx="2162175" cy="552450"/>
          <wp:effectExtent l="0" t="0" r="9525" b="0"/>
          <wp:wrapNone/>
          <wp:docPr id="5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intelligence2.xml><?xml version="1.0" encoding="utf-8"?>
<int2:intelligence xmlns:int2="http://schemas.microsoft.com/office/intelligence/2020/intelligence">
  <int2:observations>
    <int2:textHash int2:hashCode="OrtZNwJC/JiGrS" int2:id="sYNVxa9e">
      <int2:state int2:type="AugLoop_Text_Critique" int2:value="Rejected"/>
    </int2:textHash>
    <int2:textHash int2:hashCode="QGE2sPNghMBMZh" int2:id="MNU5LRPU">
      <int2:state int2:type="AugLoop_Text_Critique" int2:value="Rejected"/>
    </int2:textHash>
    <int2:bookmark int2:bookmarkName="_Int_jUJHzfjl" int2:invalidationBookmarkName="" int2:hashCode="GFXC41cCPdT01O" int2:id="oGQV1Sej">
      <int2:state int2:type="AugLoop_Text_Critique" int2:value="Rejected"/>
    </int2:bookmark>
    <int2:bookmark int2:bookmarkName="_Int_lJLVtUoB" int2:invalidationBookmarkName="" int2:hashCode="LDoO9u9DFubl0c" int2:id="bjDvSTuA">
      <int2:state int2:type="AugLoop_Text_Critique" int2:value="Rejected"/>
    </int2:bookmark>
    <int2:bookmark int2:bookmarkName="_Int_CYiu5O26" int2:invalidationBookmarkName="" int2:hashCode="LDoO9u9DFubl0c" int2:id="kL2PhBNp">
      <int2:state int2:type="AugLoop_Text_Critique" int2:value="Rejected"/>
    </int2:bookmark>
    <int2:bookmark int2:bookmarkName="_Int_g6oM3hrl" int2:invalidationBookmarkName="" int2:hashCode="LDoO9u9DFubl0c" int2:id="dcb4yPDJ">
      <int2:state int2:type="AugLoop_Text_Critique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D"/>
    <w:rsid w:val="00071D94"/>
    <w:rsid w:val="000B25BE"/>
    <w:rsid w:val="00107184"/>
    <w:rsid w:val="00162AED"/>
    <w:rsid w:val="0016469C"/>
    <w:rsid w:val="001C7277"/>
    <w:rsid w:val="00350416"/>
    <w:rsid w:val="003D7C95"/>
    <w:rsid w:val="003F4911"/>
    <w:rsid w:val="0046223B"/>
    <w:rsid w:val="004E7009"/>
    <w:rsid w:val="00593211"/>
    <w:rsid w:val="005E5CA8"/>
    <w:rsid w:val="006F7AB6"/>
    <w:rsid w:val="00885815"/>
    <w:rsid w:val="009A64A0"/>
    <w:rsid w:val="009B5F88"/>
    <w:rsid w:val="00A65C52"/>
    <w:rsid w:val="00B85677"/>
    <w:rsid w:val="00BD63F3"/>
    <w:rsid w:val="00CB3BCD"/>
    <w:rsid w:val="00D1010D"/>
    <w:rsid w:val="00EE6E42"/>
    <w:rsid w:val="00F005BC"/>
    <w:rsid w:val="00F108E5"/>
    <w:rsid w:val="01CDC9BF"/>
    <w:rsid w:val="01F1AD7B"/>
    <w:rsid w:val="0829AE87"/>
    <w:rsid w:val="1AAD6EA3"/>
    <w:rsid w:val="2720C243"/>
    <w:rsid w:val="2D7DD20A"/>
    <w:rsid w:val="33E5E7B0"/>
    <w:rsid w:val="360AF7DA"/>
    <w:rsid w:val="38A24322"/>
    <w:rsid w:val="496096D2"/>
    <w:rsid w:val="6D164256"/>
    <w:rsid w:val="6D77F659"/>
    <w:rsid w:val="6FE52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D877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5C5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A65C5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C7277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1C7277"/>
  </w:style>
  <w:style w:type="paragraph" w:styleId="Footer">
    <w:name w:val="footer"/>
    <w:basedOn w:val="Normal"/>
    <w:link w:val="FooterChar"/>
    <w:uiPriority w:val="99"/>
    <w:unhideWhenUsed/>
    <w:rsid w:val="001C7277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C7277"/>
  </w:style>
  <w:style w:type="character" w:styleId="FollowedHyperlink">
    <w:name w:val="FollowedHyperlink"/>
    <w:basedOn w:val="DefaultParagraphFont"/>
    <w:uiPriority w:val="99"/>
    <w:semiHidden/>
    <w:unhideWhenUsed/>
    <w:rsid w:val="003F491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3.xml" Id="rId13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customXml" Target="../customXml/item2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Relationship Type="http://schemas.openxmlformats.org/officeDocument/2006/relationships/hyperlink" Target="https://www.qaa.ac.uk/quality-code/subject-benchmark-statements" TargetMode="External" Id="R3f770f0b626540f9" /><Relationship Type="http://schemas.microsoft.com/office/2020/10/relationships/intelligence" Target="intelligence2.xml" Id="R7d6692341b0a444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57A6B9722DE4484E0FABA265746B5" ma:contentTypeVersion="18" ma:contentTypeDescription="Create a new document." ma:contentTypeScope="" ma:versionID="a999834090ab440760231b491172c55a">
  <xsd:schema xmlns:xsd="http://www.w3.org/2001/XMLSchema" xmlns:xs="http://www.w3.org/2001/XMLSchema" xmlns:p="http://schemas.microsoft.com/office/2006/metadata/properties" xmlns:ns1="http://schemas.microsoft.com/sharepoint/v3" xmlns:ns2="c19d9144-cbe3-4b5d-a710-46ada0e8ff40" xmlns:ns3="6c84a01b-aede-4370-8fa9-b7a959cab531" targetNamespace="http://schemas.microsoft.com/office/2006/metadata/properties" ma:root="true" ma:fieldsID="178f0625bfb9aa1db5f7dd9f7447a11d" ns1:_="" ns2:_="" ns3:_="">
    <xsd:import namespace="http://schemas.microsoft.com/sharepoint/v3"/>
    <xsd:import namespace="c19d9144-cbe3-4b5d-a710-46ada0e8ff40"/>
    <xsd:import namespace="6c84a01b-aede-4370-8fa9-b7a959cab5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d9144-cbe3-4b5d-a710-46ada0e8ff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157f23b-4936-4da1-b1a0-d7d41e84ed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84a01b-aede-4370-8fa9-b7a959cab53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269b51-f8c1-43c8-a495-c2c0d4602cbd}" ma:internalName="TaxCatchAll" ma:showField="CatchAllData" ma:web="6c84a01b-aede-4370-8fa9-b7a959cab5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84a01b-aede-4370-8fa9-b7a959cab531" xsi:nil="true"/>
    <lcf76f155ced4ddcb4097134ff3c332f xmlns="c19d9144-cbe3-4b5d-a710-46ada0e8ff40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1DDBA4F-5907-4105-9B1B-FAD5E4DF5D62}"/>
</file>

<file path=customXml/itemProps2.xml><?xml version="1.0" encoding="utf-8"?>
<ds:datastoreItem xmlns:ds="http://schemas.openxmlformats.org/officeDocument/2006/customXml" ds:itemID="{4D89B925-AA4E-45FA-96AA-DD9802722201}"/>
</file>

<file path=customXml/itemProps3.xml><?xml version="1.0" encoding="utf-8"?>
<ds:datastoreItem xmlns:ds="http://schemas.openxmlformats.org/officeDocument/2006/customXml" ds:itemID="{662A724C-B998-4609-B20E-76B8C5071C6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London Metropolitan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Helen Spruce</cp:lastModifiedBy>
  <cp:revision>12</cp:revision>
  <dcterms:created xsi:type="dcterms:W3CDTF">2020-11-03T10:22:00Z</dcterms:created>
  <dcterms:modified xsi:type="dcterms:W3CDTF">2025-07-17T11:41:14Z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0x010100DBB57A6B9722DE4484E0FABA265746B5</vt:lpwstr>
  </property>
  <property fmtid="{D5CDD505-2E9C-101B-9397-08002B2CF9AE}" pid="3" name="MediaServiceImageTags">
    <vt:lpwstr/>
  </property>
</Properties>
</file>