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4D8A" w14:textId="2FFADA86" w:rsidR="001B620D" w:rsidRDefault="00933956" w:rsidP="00586019">
      <w:pPr>
        <w:rPr>
          <w:sz w:val="22"/>
          <w:szCs w:val="22"/>
        </w:rPr>
      </w:pPr>
      <w:r>
        <w:rPr>
          <w:noProof/>
          <w:sz w:val="22"/>
          <w:szCs w:val="22"/>
        </w:rPr>
        <w:drawing>
          <wp:anchor distT="0" distB="0" distL="114300" distR="114300" simplePos="0" relativeHeight="251658240" behindDoc="0" locked="1" layoutInCell="1" allowOverlap="1" wp14:anchorId="5759D3D8" wp14:editId="7A8AAE73">
            <wp:simplePos x="0" y="0"/>
            <wp:positionH relativeFrom="margin">
              <wp:posOffset>4958080</wp:posOffset>
            </wp:positionH>
            <wp:positionV relativeFrom="margin">
              <wp:posOffset>10795</wp:posOffset>
            </wp:positionV>
            <wp:extent cx="3805200" cy="4780800"/>
            <wp:effectExtent l="0" t="0" r="5080" b="1270"/>
            <wp:wrapSquare wrapText="bothSides"/>
            <wp:docPr id="883603291" name="Picture 1" descr="London Met’s Education for Social Justice Framework: Aligning our curricula and practice with principles of equity. Diagram: outer circle shows &quot;Empowering&quot;, &quot;Accessible&quot; and &quot;Reflective&quot;; four inner circles contain &quot;Sustainable futures&quot;, &quot;Inclusive practice&quot;, &quot;Supportive environments&quot; and &quot;Critical pedagogies&quot;; across the centre: &quot;Transformative&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603291" name="Picture 1" descr="London Met’s Education for Social Justice Framework: Aligning our curricula and practice with principles of equity. Diagram: outer circle shows &quot;Empowering&quot;, &quot;Accessible&quot; and &quot;Reflective&quot;; four inner circles contain &quot;Sustainable futures&quot;, &quot;Inclusive practice&quot;, &quot;Supportive environments&quot; and &quot;Critical pedagogies&quot;; across the centre: &quot;Transformative&quot; "/>
                    <pic:cNvPicPr/>
                  </pic:nvPicPr>
                  <pic:blipFill>
                    <a:blip r:embed="rId11">
                      <a:extLst>
                        <a:ext uri="{28A0092B-C50C-407E-A947-70E740481C1C}">
                          <a14:useLocalDpi xmlns:a14="http://schemas.microsoft.com/office/drawing/2010/main" val="0"/>
                        </a:ext>
                      </a:extLst>
                    </a:blip>
                    <a:stretch>
                      <a:fillRect/>
                    </a:stretch>
                  </pic:blipFill>
                  <pic:spPr>
                    <a:xfrm>
                      <a:off x="0" y="0"/>
                      <a:ext cx="3805200" cy="4780800"/>
                    </a:xfrm>
                    <a:prstGeom prst="rect">
                      <a:avLst/>
                    </a:prstGeom>
                  </pic:spPr>
                </pic:pic>
              </a:graphicData>
            </a:graphic>
            <wp14:sizeRelH relativeFrom="margin">
              <wp14:pctWidth>0</wp14:pctWidth>
            </wp14:sizeRelH>
            <wp14:sizeRelV relativeFrom="margin">
              <wp14:pctHeight>0</wp14:pctHeight>
            </wp14:sizeRelV>
          </wp:anchor>
        </w:drawing>
      </w:r>
      <w:r w:rsidR="65C4675F">
        <w:rPr>
          <w:noProof/>
        </w:rPr>
        <w:drawing>
          <wp:inline distT="0" distB="0" distL="0" distR="0" wp14:anchorId="7C9DFB13" wp14:editId="7121579C">
            <wp:extent cx="2152650" cy="552450"/>
            <wp:effectExtent l="0" t="0" r="0" b="0"/>
            <wp:docPr id="1973211046" name="drawi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11046" name=""/>
                    <pic:cNvPicPr/>
                  </pic:nvPicPr>
                  <pic:blipFill>
                    <a:blip r:embed="rId12">
                      <a:extLst>
                        <a:ext uri="{28A0092B-C50C-407E-A947-70E740481C1C}">
                          <a14:useLocalDpi xmlns:a14="http://schemas.microsoft.com/office/drawing/2010/main" val="0"/>
                        </a:ext>
                      </a:extLst>
                    </a:blip>
                    <a:stretch>
                      <a:fillRect/>
                    </a:stretch>
                  </pic:blipFill>
                  <pic:spPr>
                    <a:xfrm>
                      <a:off x="0" y="0"/>
                      <a:ext cx="2152650" cy="552450"/>
                    </a:xfrm>
                    <a:prstGeom prst="rect">
                      <a:avLst/>
                    </a:prstGeom>
                  </pic:spPr>
                </pic:pic>
              </a:graphicData>
            </a:graphic>
          </wp:inline>
        </w:drawing>
      </w:r>
    </w:p>
    <w:p w14:paraId="36B3F66E" w14:textId="77777777" w:rsidR="0092799A" w:rsidRDefault="0092799A" w:rsidP="00933956">
      <w:pPr>
        <w:jc w:val="both"/>
        <w:rPr>
          <w:sz w:val="22"/>
          <w:szCs w:val="22"/>
        </w:rPr>
      </w:pPr>
    </w:p>
    <w:p w14:paraId="560A95DA" w14:textId="5CFB7B3F" w:rsidR="00125008" w:rsidRDefault="6AF9F80E" w:rsidP="00933956">
      <w:pPr>
        <w:jc w:val="both"/>
        <w:rPr>
          <w:sz w:val="22"/>
          <w:szCs w:val="22"/>
        </w:rPr>
      </w:pPr>
      <w:r w:rsidRPr="70B586E0">
        <w:rPr>
          <w:sz w:val="22"/>
          <w:szCs w:val="22"/>
        </w:rPr>
        <w:t>In 2019, London Met launched its new University Strategy, reaffirming its commitment to social justice, social mobility, and transformative education. Reflecting its diverse student community and role in tackling systemic inequalities—notably degree awarding gaps—the University developed the Education for Social Justice Framework (ESJF) to embed equity in learning and teaching.</w:t>
      </w:r>
      <w:r w:rsidR="29EAF1F1" w:rsidRPr="70B586E0">
        <w:rPr>
          <w:sz w:val="22"/>
          <w:szCs w:val="22"/>
        </w:rPr>
        <w:t xml:space="preserve"> </w:t>
      </w:r>
    </w:p>
    <w:p w14:paraId="357DC6E4" w14:textId="77777777" w:rsidR="00E27E22" w:rsidRDefault="6AF9F80E" w:rsidP="00933956">
      <w:pPr>
        <w:jc w:val="both"/>
        <w:rPr>
          <w:sz w:val="22"/>
          <w:szCs w:val="22"/>
        </w:rPr>
      </w:pPr>
      <w:r w:rsidRPr="70B586E0">
        <w:rPr>
          <w:sz w:val="22"/>
          <w:szCs w:val="22"/>
        </w:rPr>
        <w:t>The ESJF is a holistic, values-based model grounded in research, theory, and best practice. Its updated Wheel provides clearer guidance for applying inclusive curriculum principles across the institution. Rooted in inclusive pedagogy and inspired by Paulo Freire’s liberatory education, the Framework challenges deficit-based models and promotes systemic transformation to ensure that every student can realise their potential</w:t>
      </w:r>
      <w:r w:rsidRPr="3B2ED4C3">
        <w:rPr>
          <w:sz w:val="22"/>
          <w:szCs w:val="22"/>
        </w:rPr>
        <w:t>.</w:t>
      </w:r>
      <w:r w:rsidR="20F25201" w:rsidRPr="3B2ED4C3">
        <w:rPr>
          <w:sz w:val="22"/>
          <w:szCs w:val="22"/>
        </w:rPr>
        <w:t xml:space="preserve"> </w:t>
      </w:r>
    </w:p>
    <w:p w14:paraId="07F955BD" w14:textId="40EBEA06" w:rsidR="59293C1F" w:rsidRDefault="59293C1F" w:rsidP="00933956">
      <w:pPr>
        <w:jc w:val="both"/>
        <w:rPr>
          <w:sz w:val="22"/>
          <w:szCs w:val="22"/>
        </w:rPr>
      </w:pPr>
      <w:r w:rsidRPr="3B2ED4C3">
        <w:rPr>
          <w:sz w:val="22"/>
          <w:szCs w:val="22"/>
        </w:rPr>
        <w:t>Our ESJF promotes critical reflection, co-creation with students, and transformative learning experiences that empower students as agents of change.</w:t>
      </w:r>
    </w:p>
    <w:p w14:paraId="74728BBC" w14:textId="7DFAA34F" w:rsidR="000C6E63" w:rsidRDefault="6AF9F80E" w:rsidP="00255632">
      <w:pPr>
        <w:rPr>
          <w:sz w:val="22"/>
          <w:szCs w:val="22"/>
        </w:rPr>
      </w:pPr>
      <w:r w:rsidRPr="00255632">
        <w:rPr>
          <w:sz w:val="22"/>
          <w:szCs w:val="22"/>
        </w:rPr>
        <w:t xml:space="preserve">You can find out more information about the </w:t>
      </w:r>
      <w:hyperlink r:id="rId13">
        <w:r w:rsidRPr="00255632">
          <w:rPr>
            <w:rStyle w:val="Hyperlink"/>
            <w:sz w:val="22"/>
            <w:szCs w:val="22"/>
          </w:rPr>
          <w:t>ESJF in the Teaching Success Hub here</w:t>
        </w:r>
      </w:hyperlink>
      <w:r w:rsidRPr="00255632">
        <w:rPr>
          <w:sz w:val="22"/>
          <w:szCs w:val="22"/>
        </w:rPr>
        <w:t xml:space="preserve"> </w:t>
      </w:r>
    </w:p>
    <w:p w14:paraId="01EC1BC7" w14:textId="06DBF124" w:rsidR="000573B7" w:rsidRPr="00BC7FCE" w:rsidRDefault="00217602" w:rsidP="55AE5704">
      <w:pPr>
        <w:pStyle w:val="Heading2"/>
        <w:rPr>
          <w:sz w:val="24"/>
          <w:szCs w:val="24"/>
        </w:rPr>
      </w:pPr>
      <w:r w:rsidRPr="00BC7FCE">
        <w:rPr>
          <w:sz w:val="24"/>
          <w:szCs w:val="24"/>
        </w:rPr>
        <w:lastRenderedPageBreak/>
        <w:t xml:space="preserve">Understanding and Applying the ESJ Framework </w:t>
      </w:r>
      <w:r w:rsidR="5A0AD292" w:rsidRPr="00BC7FCE">
        <w:rPr>
          <w:sz w:val="24"/>
          <w:szCs w:val="24"/>
        </w:rPr>
        <w:t>using the ESJF Tool</w:t>
      </w:r>
      <w:r w:rsidR="000573B7" w:rsidRPr="00BC7FCE">
        <w:rPr>
          <w:sz w:val="24"/>
          <w:szCs w:val="24"/>
        </w:rPr>
        <w:t>:</w:t>
      </w:r>
    </w:p>
    <w:p w14:paraId="76237DEC" w14:textId="77777777" w:rsidR="00B636A7" w:rsidRDefault="000573B7" w:rsidP="55AE5704">
      <w:pPr>
        <w:spacing w:after="0"/>
        <w:rPr>
          <w:b/>
          <w:bCs/>
          <w:sz w:val="22"/>
          <w:szCs w:val="22"/>
        </w:rPr>
      </w:pPr>
      <w:r w:rsidRPr="55AE5704">
        <w:rPr>
          <w:b/>
          <w:bCs/>
          <w:sz w:val="22"/>
          <w:szCs w:val="22"/>
        </w:rPr>
        <w:t>ESJF Principles</w:t>
      </w:r>
    </w:p>
    <w:p w14:paraId="09471DFF" w14:textId="7FBF2511" w:rsidR="000573B7" w:rsidRDefault="000573B7" w:rsidP="55AE5704">
      <w:pPr>
        <w:rPr>
          <w:sz w:val="22"/>
          <w:szCs w:val="22"/>
        </w:rPr>
      </w:pPr>
      <w:r w:rsidRPr="55AE5704">
        <w:rPr>
          <w:sz w:val="22"/>
          <w:szCs w:val="22"/>
        </w:rPr>
        <w:t>Ultimately, our ESJF aims to foster a higher education environment where every student can thrive</w:t>
      </w:r>
      <w:r w:rsidR="32211C7A" w:rsidRPr="55AE5704">
        <w:rPr>
          <w:sz w:val="22"/>
          <w:szCs w:val="22"/>
        </w:rPr>
        <w:t>. These are articulated through the use of the ESJF Toolkit which can be access</w:t>
      </w:r>
      <w:r w:rsidR="006855E2">
        <w:rPr>
          <w:sz w:val="22"/>
          <w:szCs w:val="22"/>
        </w:rPr>
        <w:t>ed</w:t>
      </w:r>
      <w:r w:rsidR="32211C7A" w:rsidRPr="55AE5704">
        <w:rPr>
          <w:sz w:val="22"/>
          <w:szCs w:val="22"/>
        </w:rPr>
        <w:t xml:space="preserve"> </w:t>
      </w:r>
      <w:hyperlink r:id="rId14">
        <w:r w:rsidR="32211C7A" w:rsidRPr="55AE5704">
          <w:rPr>
            <w:rStyle w:val="Hyperlink"/>
            <w:sz w:val="22"/>
            <w:szCs w:val="22"/>
          </w:rPr>
          <w:t>here</w:t>
        </w:r>
      </w:hyperlink>
      <w:r w:rsidR="32211C7A" w:rsidRPr="55AE5704">
        <w:rPr>
          <w:sz w:val="22"/>
          <w:szCs w:val="22"/>
        </w:rPr>
        <w:t>. The principles are summarised below</w:t>
      </w:r>
      <w:r w:rsidR="2FCB32A7" w:rsidRPr="55AE5704">
        <w:rPr>
          <w:sz w:val="22"/>
          <w:szCs w:val="22"/>
        </w:rPr>
        <w:t xml:space="preserve">. </w:t>
      </w:r>
    </w:p>
    <w:tbl>
      <w:tblPr>
        <w:tblStyle w:val="TableGrid"/>
        <w:tblW w:w="0" w:type="auto"/>
        <w:tblLayout w:type="fixed"/>
        <w:tblLook w:val="06A0" w:firstRow="1" w:lastRow="0" w:firstColumn="1" w:lastColumn="0" w:noHBand="1" w:noVBand="1"/>
      </w:tblPr>
      <w:tblGrid>
        <w:gridCol w:w="4650"/>
        <w:gridCol w:w="4650"/>
        <w:gridCol w:w="4650"/>
      </w:tblGrid>
      <w:tr w:rsidR="55AE5704" w14:paraId="701D0CC0" w14:textId="77777777" w:rsidTr="55AE5704">
        <w:trPr>
          <w:trHeight w:val="300"/>
        </w:trPr>
        <w:tc>
          <w:tcPr>
            <w:tcW w:w="4650" w:type="dxa"/>
          </w:tcPr>
          <w:p w14:paraId="3330C123" w14:textId="50EA4A64" w:rsidR="764CE7B9" w:rsidRDefault="764CE7B9" w:rsidP="55AE5704">
            <w:pPr>
              <w:rPr>
                <w:b/>
                <w:bCs/>
                <w:i/>
                <w:iCs/>
                <w:sz w:val="22"/>
                <w:szCs w:val="22"/>
              </w:rPr>
            </w:pPr>
            <w:r w:rsidRPr="55AE5704">
              <w:rPr>
                <w:b/>
                <w:bCs/>
                <w:sz w:val="22"/>
                <w:szCs w:val="22"/>
              </w:rPr>
              <w:t xml:space="preserve">Principle 1: An Accessible Curriculum - </w:t>
            </w:r>
          </w:p>
          <w:p w14:paraId="1FBA1846" w14:textId="51E2C9AF" w:rsidR="764CE7B9" w:rsidRDefault="764CE7B9" w:rsidP="55AE5704">
            <w:pPr>
              <w:rPr>
                <w:b/>
                <w:bCs/>
                <w:i/>
                <w:iCs/>
                <w:sz w:val="22"/>
                <w:szCs w:val="22"/>
              </w:rPr>
            </w:pPr>
            <w:r w:rsidRPr="55AE5704">
              <w:rPr>
                <w:i/>
                <w:iCs/>
                <w:sz w:val="22"/>
                <w:szCs w:val="22"/>
              </w:rPr>
              <w:t>A curriculum that places students at the heart of the learning experience</w:t>
            </w:r>
          </w:p>
          <w:p w14:paraId="03685F39" w14:textId="360C8DEF" w:rsidR="55AE5704" w:rsidRDefault="55AE5704" w:rsidP="55AE5704">
            <w:pPr>
              <w:rPr>
                <w:sz w:val="22"/>
                <w:szCs w:val="22"/>
              </w:rPr>
            </w:pPr>
          </w:p>
        </w:tc>
        <w:tc>
          <w:tcPr>
            <w:tcW w:w="4650" w:type="dxa"/>
          </w:tcPr>
          <w:p w14:paraId="2237F60A" w14:textId="62E50FFA" w:rsidR="764CE7B9" w:rsidRDefault="764CE7B9" w:rsidP="55AE5704">
            <w:pPr>
              <w:rPr>
                <w:i/>
                <w:iCs/>
                <w:sz w:val="22"/>
                <w:szCs w:val="22"/>
              </w:rPr>
            </w:pPr>
            <w:r w:rsidRPr="55AE5704">
              <w:rPr>
                <w:b/>
                <w:bCs/>
                <w:sz w:val="22"/>
                <w:szCs w:val="22"/>
              </w:rPr>
              <w:t xml:space="preserve">Principle 2: A Reflective Curriculum - </w:t>
            </w:r>
            <w:r w:rsidRPr="55AE5704">
              <w:rPr>
                <w:i/>
                <w:iCs/>
                <w:sz w:val="22"/>
                <w:szCs w:val="22"/>
              </w:rPr>
              <w:t>Enable students to see themselves reflected in the curriculum</w:t>
            </w:r>
          </w:p>
          <w:p w14:paraId="0AB0C42D" w14:textId="23F5D5EA" w:rsidR="55AE5704" w:rsidRDefault="55AE5704" w:rsidP="55AE5704">
            <w:pPr>
              <w:rPr>
                <w:sz w:val="22"/>
                <w:szCs w:val="22"/>
              </w:rPr>
            </w:pPr>
          </w:p>
        </w:tc>
        <w:tc>
          <w:tcPr>
            <w:tcW w:w="4650" w:type="dxa"/>
          </w:tcPr>
          <w:p w14:paraId="497110C0" w14:textId="69D7A120" w:rsidR="764CE7B9" w:rsidRDefault="764CE7B9" w:rsidP="55AE5704">
            <w:pPr>
              <w:rPr>
                <w:i/>
                <w:iCs/>
                <w:sz w:val="22"/>
                <w:szCs w:val="22"/>
              </w:rPr>
            </w:pPr>
            <w:r w:rsidRPr="55AE5704">
              <w:rPr>
                <w:b/>
                <w:bCs/>
                <w:sz w:val="22"/>
                <w:szCs w:val="22"/>
              </w:rPr>
              <w:t xml:space="preserve">Principle 3: An Empowering Curriculum - </w:t>
            </w:r>
            <w:r w:rsidRPr="55AE5704">
              <w:rPr>
                <w:i/>
                <w:iCs/>
                <w:sz w:val="22"/>
                <w:szCs w:val="22"/>
              </w:rPr>
              <w:t>Equip students with the skills to positively contribute to and work in a global and diverse world</w:t>
            </w:r>
          </w:p>
          <w:p w14:paraId="06A1BCBD" w14:textId="30A8EE2E" w:rsidR="55AE5704" w:rsidRDefault="55AE5704" w:rsidP="55AE5704">
            <w:pPr>
              <w:rPr>
                <w:i/>
                <w:iCs/>
                <w:sz w:val="22"/>
                <w:szCs w:val="22"/>
              </w:rPr>
            </w:pPr>
          </w:p>
        </w:tc>
      </w:tr>
      <w:tr w:rsidR="55AE5704" w14:paraId="54207F22" w14:textId="77777777" w:rsidTr="55AE5704">
        <w:trPr>
          <w:trHeight w:val="300"/>
        </w:trPr>
        <w:tc>
          <w:tcPr>
            <w:tcW w:w="4650" w:type="dxa"/>
          </w:tcPr>
          <w:p w14:paraId="066D728F" w14:textId="5AC7D99D" w:rsidR="764CE7B9" w:rsidRDefault="764CE7B9" w:rsidP="55AE5704">
            <w:pPr>
              <w:rPr>
                <w:sz w:val="22"/>
                <w:szCs w:val="22"/>
              </w:rPr>
            </w:pPr>
            <w:r w:rsidRPr="55AE5704">
              <w:rPr>
                <w:sz w:val="22"/>
                <w:szCs w:val="22"/>
              </w:rPr>
              <w:t>Accessibility in the curriculum means removing barriers so that all students—regardless of ability or background—have equal opportunities to succeed. This ESJF Principle seeks to do this by encouraging staff to think about:</w:t>
            </w:r>
          </w:p>
          <w:p w14:paraId="4706532C" w14:textId="4B8BB317" w:rsidR="55AE5704" w:rsidRDefault="55AE5704" w:rsidP="55AE5704">
            <w:pPr>
              <w:rPr>
                <w:sz w:val="22"/>
                <w:szCs w:val="22"/>
              </w:rPr>
            </w:pPr>
          </w:p>
        </w:tc>
        <w:tc>
          <w:tcPr>
            <w:tcW w:w="4650" w:type="dxa"/>
          </w:tcPr>
          <w:p w14:paraId="49A56753" w14:textId="77777777" w:rsidR="764CE7B9" w:rsidRDefault="764CE7B9" w:rsidP="55AE5704">
            <w:pPr>
              <w:rPr>
                <w:sz w:val="22"/>
                <w:szCs w:val="22"/>
              </w:rPr>
            </w:pPr>
            <w:r w:rsidRPr="55AE5704">
              <w:rPr>
                <w:sz w:val="22"/>
                <w:szCs w:val="22"/>
              </w:rPr>
              <w:t>Central to the ESJF’s goal of fostering inclusive, equitable education and encouraging both staff and students to examine their beliefs, biases, and practices, this ESJF Principle seeks to encourage staff to think about:</w:t>
            </w:r>
          </w:p>
          <w:p w14:paraId="2ED708DF" w14:textId="2FDF6369" w:rsidR="55AE5704" w:rsidRDefault="55AE5704" w:rsidP="55AE5704">
            <w:pPr>
              <w:rPr>
                <w:sz w:val="22"/>
                <w:szCs w:val="22"/>
              </w:rPr>
            </w:pPr>
          </w:p>
        </w:tc>
        <w:tc>
          <w:tcPr>
            <w:tcW w:w="4650" w:type="dxa"/>
          </w:tcPr>
          <w:p w14:paraId="578F61FC" w14:textId="77777777" w:rsidR="764CE7B9" w:rsidRDefault="764CE7B9" w:rsidP="55AE5704">
            <w:pPr>
              <w:rPr>
                <w:sz w:val="22"/>
                <w:szCs w:val="22"/>
              </w:rPr>
            </w:pPr>
            <w:r w:rsidRPr="55AE5704">
              <w:rPr>
                <w:sz w:val="22"/>
                <w:szCs w:val="22"/>
              </w:rPr>
              <w:t>To empower students, we must embed principles of equity, access, and fairness into the curriculum, providing students with the skills required to positively contribute to the world. This ESJF Principle seeks to do this by encouraging staff to think about:  </w:t>
            </w:r>
          </w:p>
          <w:p w14:paraId="4D8E4E49" w14:textId="5E4562E5" w:rsidR="55AE5704" w:rsidRDefault="55AE5704" w:rsidP="55AE5704">
            <w:pPr>
              <w:rPr>
                <w:sz w:val="22"/>
                <w:szCs w:val="22"/>
              </w:rPr>
            </w:pPr>
          </w:p>
        </w:tc>
      </w:tr>
      <w:tr w:rsidR="55AE5704" w14:paraId="4B2F71DE" w14:textId="77777777" w:rsidTr="55AE5704">
        <w:trPr>
          <w:trHeight w:val="300"/>
        </w:trPr>
        <w:tc>
          <w:tcPr>
            <w:tcW w:w="4650" w:type="dxa"/>
          </w:tcPr>
          <w:p w14:paraId="4E964B78" w14:textId="77777777" w:rsidR="764CE7B9" w:rsidRDefault="764CE7B9" w:rsidP="55AE5704">
            <w:pPr>
              <w:numPr>
                <w:ilvl w:val="0"/>
                <w:numId w:val="24"/>
              </w:numPr>
              <w:spacing w:line="276" w:lineRule="auto"/>
              <w:rPr>
                <w:sz w:val="22"/>
                <w:szCs w:val="22"/>
              </w:rPr>
            </w:pPr>
            <w:r w:rsidRPr="55AE5704">
              <w:rPr>
                <w:b/>
                <w:bCs/>
                <w:sz w:val="22"/>
                <w:szCs w:val="22"/>
              </w:rPr>
              <w:t>Inclusive Design</w:t>
            </w:r>
            <w:r w:rsidRPr="55AE5704">
              <w:rPr>
                <w:sz w:val="22"/>
                <w:szCs w:val="22"/>
              </w:rPr>
              <w:t>: Creating a curriculum that considers physical, cognitive, and emotional needs, ensuring full participation for every learner.</w:t>
            </w:r>
          </w:p>
          <w:p w14:paraId="4C6B11E0" w14:textId="77777777" w:rsidR="764CE7B9" w:rsidRDefault="764CE7B9" w:rsidP="55AE5704">
            <w:pPr>
              <w:numPr>
                <w:ilvl w:val="0"/>
                <w:numId w:val="24"/>
              </w:numPr>
              <w:spacing w:line="276" w:lineRule="auto"/>
              <w:rPr>
                <w:sz w:val="22"/>
                <w:szCs w:val="22"/>
              </w:rPr>
            </w:pPr>
            <w:r w:rsidRPr="55AE5704">
              <w:rPr>
                <w:b/>
                <w:bCs/>
                <w:sz w:val="22"/>
                <w:szCs w:val="22"/>
              </w:rPr>
              <w:t>Universal Design for Learning (UDL)</w:t>
            </w:r>
            <w:r w:rsidRPr="55AE5704">
              <w:rPr>
                <w:sz w:val="22"/>
                <w:szCs w:val="22"/>
              </w:rPr>
              <w:t>: A key model that supports flexible teaching strategies, diverse learning formats, and adaptable materials to meet a wide range of student needs.</w:t>
            </w:r>
          </w:p>
          <w:p w14:paraId="6B03845F" w14:textId="77777777" w:rsidR="764CE7B9" w:rsidRDefault="764CE7B9" w:rsidP="55AE5704">
            <w:pPr>
              <w:numPr>
                <w:ilvl w:val="0"/>
                <w:numId w:val="24"/>
              </w:numPr>
              <w:spacing w:line="276" w:lineRule="auto"/>
              <w:rPr>
                <w:sz w:val="22"/>
                <w:szCs w:val="22"/>
              </w:rPr>
            </w:pPr>
            <w:r w:rsidRPr="55AE5704">
              <w:rPr>
                <w:b/>
                <w:bCs/>
                <w:sz w:val="22"/>
                <w:szCs w:val="22"/>
              </w:rPr>
              <w:t>Multiple Means of Engagement</w:t>
            </w:r>
            <w:r w:rsidRPr="55AE5704">
              <w:rPr>
                <w:sz w:val="22"/>
                <w:szCs w:val="22"/>
              </w:rPr>
              <w:t>: Using varied activities, collaborative work, and personalised approaches to keep students motivated and involved.</w:t>
            </w:r>
          </w:p>
          <w:p w14:paraId="7B7DFD8D" w14:textId="77777777" w:rsidR="764CE7B9" w:rsidRDefault="764CE7B9" w:rsidP="55AE5704">
            <w:pPr>
              <w:numPr>
                <w:ilvl w:val="0"/>
                <w:numId w:val="24"/>
              </w:numPr>
              <w:spacing w:line="276" w:lineRule="auto"/>
              <w:rPr>
                <w:sz w:val="22"/>
                <w:szCs w:val="22"/>
              </w:rPr>
            </w:pPr>
            <w:r w:rsidRPr="55AE5704">
              <w:rPr>
                <w:b/>
                <w:bCs/>
                <w:sz w:val="22"/>
                <w:szCs w:val="22"/>
              </w:rPr>
              <w:t>Flexible Assessment</w:t>
            </w:r>
            <w:r w:rsidRPr="55AE5704">
              <w:rPr>
                <w:sz w:val="22"/>
                <w:szCs w:val="22"/>
              </w:rPr>
              <w:t xml:space="preserve">: Allowing students </w:t>
            </w:r>
            <w:r w:rsidRPr="55AE5704">
              <w:rPr>
                <w:sz w:val="22"/>
                <w:szCs w:val="22"/>
              </w:rPr>
              <w:lastRenderedPageBreak/>
              <w:t>to demonstrate their knowledge in different ways—such as writing, speaking, or creative projects—based on their strengths.</w:t>
            </w:r>
          </w:p>
          <w:p w14:paraId="02F77106" w14:textId="77777777" w:rsidR="764CE7B9" w:rsidRDefault="764CE7B9" w:rsidP="55AE5704">
            <w:pPr>
              <w:numPr>
                <w:ilvl w:val="0"/>
                <w:numId w:val="24"/>
              </w:numPr>
              <w:spacing w:line="276" w:lineRule="auto"/>
              <w:rPr>
                <w:sz w:val="22"/>
                <w:szCs w:val="22"/>
              </w:rPr>
            </w:pPr>
            <w:r w:rsidRPr="55AE5704">
              <w:rPr>
                <w:b/>
                <w:bCs/>
                <w:sz w:val="22"/>
                <w:szCs w:val="22"/>
              </w:rPr>
              <w:t>Inclusive Pedagogy</w:t>
            </w:r>
            <w:r w:rsidRPr="55AE5704">
              <w:rPr>
                <w:sz w:val="22"/>
                <w:szCs w:val="22"/>
              </w:rPr>
              <w:t>: Employing teaching practices like differentiated instruction and assistive technologies to support all learners, including those with disabilities.</w:t>
            </w:r>
          </w:p>
          <w:p w14:paraId="7D04BE61" w14:textId="77777777" w:rsidR="764CE7B9" w:rsidRDefault="764CE7B9" w:rsidP="55AE5704">
            <w:pPr>
              <w:numPr>
                <w:ilvl w:val="0"/>
                <w:numId w:val="24"/>
              </w:numPr>
              <w:spacing w:line="276" w:lineRule="auto"/>
              <w:rPr>
                <w:sz w:val="22"/>
                <w:szCs w:val="22"/>
              </w:rPr>
            </w:pPr>
            <w:r w:rsidRPr="55AE5704">
              <w:rPr>
                <w:b/>
                <w:bCs/>
                <w:sz w:val="22"/>
                <w:szCs w:val="22"/>
              </w:rPr>
              <w:t>Barrier Removal</w:t>
            </w:r>
            <w:r w:rsidRPr="55AE5704">
              <w:rPr>
                <w:sz w:val="22"/>
                <w:szCs w:val="22"/>
              </w:rPr>
              <w:t>: Proactively addressing obstacles in learning environments—physical, cognitive, and emotional—to enable full access and participation.</w:t>
            </w:r>
          </w:p>
          <w:p w14:paraId="5E3541BE" w14:textId="77777777" w:rsidR="764CE7B9" w:rsidRDefault="764CE7B9" w:rsidP="55AE5704">
            <w:pPr>
              <w:numPr>
                <w:ilvl w:val="0"/>
                <w:numId w:val="24"/>
              </w:numPr>
              <w:spacing w:line="276" w:lineRule="auto"/>
              <w:rPr>
                <w:sz w:val="22"/>
                <w:szCs w:val="22"/>
              </w:rPr>
            </w:pPr>
            <w:r w:rsidRPr="55AE5704">
              <w:rPr>
                <w:b/>
                <w:bCs/>
                <w:sz w:val="22"/>
                <w:szCs w:val="22"/>
              </w:rPr>
              <w:t>Long-Term Benefits</w:t>
            </w:r>
            <w:r w:rsidRPr="55AE5704">
              <w:rPr>
                <w:sz w:val="22"/>
                <w:szCs w:val="22"/>
              </w:rPr>
              <w:t>: Enhancing inclusion leads to improved student outcomes, stronger engagement, and more supportive learning communities.</w:t>
            </w:r>
          </w:p>
          <w:p w14:paraId="490B1255" w14:textId="6976C255" w:rsidR="55AE5704" w:rsidRDefault="55AE5704" w:rsidP="55AE5704">
            <w:pPr>
              <w:rPr>
                <w:sz w:val="22"/>
                <w:szCs w:val="22"/>
              </w:rPr>
            </w:pPr>
          </w:p>
        </w:tc>
        <w:tc>
          <w:tcPr>
            <w:tcW w:w="4650" w:type="dxa"/>
          </w:tcPr>
          <w:p w14:paraId="0F2078EF" w14:textId="77777777" w:rsidR="764CE7B9" w:rsidRDefault="764CE7B9" w:rsidP="55AE5704">
            <w:pPr>
              <w:numPr>
                <w:ilvl w:val="0"/>
                <w:numId w:val="25"/>
              </w:numPr>
              <w:spacing w:line="276" w:lineRule="auto"/>
              <w:rPr>
                <w:sz w:val="22"/>
                <w:szCs w:val="22"/>
              </w:rPr>
            </w:pPr>
            <w:r w:rsidRPr="55AE5704">
              <w:rPr>
                <w:b/>
                <w:bCs/>
                <w:sz w:val="22"/>
                <w:szCs w:val="22"/>
              </w:rPr>
              <w:lastRenderedPageBreak/>
              <w:t>Critical Reflection</w:t>
            </w:r>
            <w:r w:rsidRPr="55AE5704">
              <w:rPr>
                <w:sz w:val="22"/>
                <w:szCs w:val="22"/>
              </w:rPr>
              <w:t>: Regular evaluation of personal assumptions and teaching practices to uncover and address inequities in the learning environment.</w:t>
            </w:r>
          </w:p>
          <w:p w14:paraId="336C5EC4" w14:textId="77777777" w:rsidR="764CE7B9" w:rsidRDefault="764CE7B9" w:rsidP="55AE5704">
            <w:pPr>
              <w:numPr>
                <w:ilvl w:val="0"/>
                <w:numId w:val="25"/>
              </w:numPr>
              <w:spacing w:line="276" w:lineRule="auto"/>
              <w:rPr>
                <w:sz w:val="22"/>
                <w:szCs w:val="22"/>
              </w:rPr>
            </w:pPr>
            <w:r w:rsidRPr="55AE5704">
              <w:rPr>
                <w:b/>
                <w:bCs/>
                <w:sz w:val="22"/>
                <w:szCs w:val="22"/>
              </w:rPr>
              <w:t>Challenging Norms</w:t>
            </w:r>
            <w:r w:rsidRPr="55AE5704">
              <w:rPr>
                <w:sz w:val="22"/>
                <w:szCs w:val="22"/>
              </w:rPr>
              <w:t>: Questioning existing structures and norms that may perpetuate bias, and ensuring all perspectives are included and respected.</w:t>
            </w:r>
          </w:p>
          <w:p w14:paraId="63845BDA" w14:textId="77777777" w:rsidR="764CE7B9" w:rsidRDefault="764CE7B9" w:rsidP="55AE5704">
            <w:pPr>
              <w:numPr>
                <w:ilvl w:val="0"/>
                <w:numId w:val="25"/>
              </w:numPr>
              <w:spacing w:line="276" w:lineRule="auto"/>
              <w:rPr>
                <w:sz w:val="22"/>
                <w:szCs w:val="22"/>
              </w:rPr>
            </w:pPr>
            <w:r w:rsidRPr="55AE5704">
              <w:rPr>
                <w:b/>
                <w:bCs/>
                <w:sz w:val="22"/>
                <w:szCs w:val="22"/>
              </w:rPr>
              <w:t>Inclusive Practice</w:t>
            </w:r>
            <w:r w:rsidRPr="55AE5704">
              <w:rPr>
                <w:sz w:val="22"/>
                <w:szCs w:val="22"/>
              </w:rPr>
              <w:t>: Adapting teaching methods to meet the diverse needs of all learners, including those with disabilities.</w:t>
            </w:r>
          </w:p>
          <w:p w14:paraId="06604758" w14:textId="77777777" w:rsidR="764CE7B9" w:rsidRDefault="764CE7B9" w:rsidP="55AE5704">
            <w:pPr>
              <w:numPr>
                <w:ilvl w:val="0"/>
                <w:numId w:val="25"/>
              </w:numPr>
              <w:spacing w:line="276" w:lineRule="auto"/>
              <w:rPr>
                <w:sz w:val="22"/>
                <w:szCs w:val="22"/>
              </w:rPr>
            </w:pPr>
            <w:r w:rsidRPr="55AE5704">
              <w:rPr>
                <w:b/>
                <w:bCs/>
                <w:sz w:val="22"/>
                <w:szCs w:val="22"/>
              </w:rPr>
              <w:t>Reflective Activities</w:t>
            </w:r>
            <w:r w:rsidRPr="55AE5704">
              <w:rPr>
                <w:sz w:val="22"/>
                <w:szCs w:val="22"/>
              </w:rPr>
              <w:t xml:space="preserve">: Incorporating tools like journaling, peer feedback, and discussions to deepen reflection and </w:t>
            </w:r>
            <w:r w:rsidRPr="55AE5704">
              <w:rPr>
                <w:sz w:val="22"/>
                <w:szCs w:val="22"/>
              </w:rPr>
              <w:lastRenderedPageBreak/>
              <w:t>promote growth.</w:t>
            </w:r>
          </w:p>
          <w:p w14:paraId="7EA850ED" w14:textId="77777777" w:rsidR="764CE7B9" w:rsidRDefault="764CE7B9" w:rsidP="55AE5704">
            <w:pPr>
              <w:numPr>
                <w:ilvl w:val="0"/>
                <w:numId w:val="25"/>
              </w:numPr>
              <w:spacing w:line="276" w:lineRule="auto"/>
              <w:rPr>
                <w:sz w:val="22"/>
                <w:szCs w:val="22"/>
              </w:rPr>
            </w:pPr>
            <w:r w:rsidRPr="55AE5704">
              <w:rPr>
                <w:b/>
                <w:bCs/>
                <w:sz w:val="22"/>
                <w:szCs w:val="22"/>
              </w:rPr>
              <w:t>Professional Development</w:t>
            </w:r>
            <w:r w:rsidRPr="55AE5704">
              <w:rPr>
                <w:sz w:val="22"/>
                <w:szCs w:val="22"/>
              </w:rPr>
              <w:t>: Supporting staff with training and resources to enhance reflective teaching practices.</w:t>
            </w:r>
          </w:p>
          <w:p w14:paraId="7C952C83" w14:textId="77777777" w:rsidR="764CE7B9" w:rsidRDefault="764CE7B9" w:rsidP="55AE5704">
            <w:pPr>
              <w:numPr>
                <w:ilvl w:val="0"/>
                <w:numId w:val="25"/>
              </w:numPr>
              <w:spacing w:line="276" w:lineRule="auto"/>
              <w:rPr>
                <w:sz w:val="22"/>
                <w:szCs w:val="22"/>
              </w:rPr>
            </w:pPr>
            <w:r w:rsidRPr="55AE5704">
              <w:rPr>
                <w:b/>
                <w:bCs/>
                <w:sz w:val="22"/>
                <w:szCs w:val="22"/>
              </w:rPr>
              <w:t>Reflective Assessment</w:t>
            </w:r>
            <w:r w:rsidRPr="55AE5704">
              <w:rPr>
                <w:sz w:val="22"/>
                <w:szCs w:val="22"/>
              </w:rPr>
              <w:t>: Using methods such as self-assessments, essays, and portfolios to help students demonstrate personal and academic growth.</w:t>
            </w:r>
          </w:p>
          <w:p w14:paraId="0B428B20" w14:textId="3094A1E2" w:rsidR="55AE5704" w:rsidRDefault="55AE5704" w:rsidP="55AE5704">
            <w:pPr>
              <w:rPr>
                <w:sz w:val="22"/>
                <w:szCs w:val="22"/>
              </w:rPr>
            </w:pPr>
          </w:p>
        </w:tc>
        <w:tc>
          <w:tcPr>
            <w:tcW w:w="4650" w:type="dxa"/>
          </w:tcPr>
          <w:p w14:paraId="47C37219" w14:textId="77777777" w:rsidR="764CE7B9" w:rsidRDefault="764CE7B9" w:rsidP="55AE5704">
            <w:pPr>
              <w:numPr>
                <w:ilvl w:val="0"/>
                <w:numId w:val="26"/>
              </w:numPr>
              <w:rPr>
                <w:sz w:val="22"/>
                <w:szCs w:val="22"/>
              </w:rPr>
            </w:pPr>
            <w:r w:rsidRPr="55AE5704">
              <w:rPr>
                <w:b/>
                <w:bCs/>
                <w:sz w:val="22"/>
                <w:szCs w:val="22"/>
              </w:rPr>
              <w:lastRenderedPageBreak/>
              <w:t>Inclusive Education</w:t>
            </w:r>
            <w:r w:rsidRPr="55AE5704">
              <w:rPr>
                <w:sz w:val="22"/>
                <w:szCs w:val="22"/>
              </w:rPr>
              <w:t>: Ensuring equal access to resources and opportunities, using teaching methods that support diverse learning needs.</w:t>
            </w:r>
          </w:p>
          <w:p w14:paraId="03C95F22" w14:textId="77777777" w:rsidR="764CE7B9" w:rsidRDefault="764CE7B9" w:rsidP="55AE5704">
            <w:pPr>
              <w:numPr>
                <w:ilvl w:val="0"/>
                <w:numId w:val="26"/>
              </w:numPr>
              <w:rPr>
                <w:sz w:val="22"/>
                <w:szCs w:val="22"/>
              </w:rPr>
            </w:pPr>
            <w:r w:rsidRPr="55AE5704">
              <w:rPr>
                <w:b/>
                <w:bCs/>
                <w:sz w:val="22"/>
                <w:szCs w:val="22"/>
              </w:rPr>
              <w:t>Critical Engagement</w:t>
            </w:r>
            <w:r w:rsidRPr="55AE5704">
              <w:rPr>
                <w:sz w:val="22"/>
                <w:szCs w:val="22"/>
              </w:rPr>
              <w:t>: Encouraging students to reflect on societal structures and their impact on marginalised communities.</w:t>
            </w:r>
          </w:p>
          <w:p w14:paraId="6E9B8EDE" w14:textId="77777777" w:rsidR="764CE7B9" w:rsidRDefault="764CE7B9" w:rsidP="55AE5704">
            <w:pPr>
              <w:numPr>
                <w:ilvl w:val="0"/>
                <w:numId w:val="26"/>
              </w:numPr>
              <w:rPr>
                <w:sz w:val="22"/>
                <w:szCs w:val="22"/>
              </w:rPr>
            </w:pPr>
            <w:r w:rsidRPr="55AE5704">
              <w:rPr>
                <w:b/>
                <w:bCs/>
                <w:sz w:val="22"/>
                <w:szCs w:val="22"/>
              </w:rPr>
              <w:t>Cultural Relevance</w:t>
            </w:r>
            <w:r w:rsidRPr="55AE5704">
              <w:rPr>
                <w:sz w:val="22"/>
                <w:szCs w:val="22"/>
              </w:rPr>
              <w:t>: Integrating diverse histories and perspectives, and valuing student identity and lived experiences.</w:t>
            </w:r>
          </w:p>
          <w:p w14:paraId="112E005C" w14:textId="6AEBB32A" w:rsidR="764CE7B9" w:rsidRDefault="764CE7B9" w:rsidP="55AE5704">
            <w:pPr>
              <w:numPr>
                <w:ilvl w:val="0"/>
                <w:numId w:val="26"/>
              </w:numPr>
              <w:rPr>
                <w:sz w:val="22"/>
                <w:szCs w:val="22"/>
              </w:rPr>
            </w:pPr>
            <w:r w:rsidRPr="55AE5704">
              <w:rPr>
                <w:b/>
                <w:bCs/>
                <w:sz w:val="22"/>
                <w:szCs w:val="22"/>
              </w:rPr>
              <w:t>Student Agency</w:t>
            </w:r>
            <w:r w:rsidRPr="55AE5704">
              <w:rPr>
                <w:sz w:val="22"/>
                <w:szCs w:val="22"/>
              </w:rPr>
              <w:t>: Empowering students to express their views, take ownership of their learning, and engage in social change.</w:t>
            </w:r>
          </w:p>
          <w:p w14:paraId="5EFA3953" w14:textId="77777777" w:rsidR="764CE7B9" w:rsidRDefault="764CE7B9" w:rsidP="55AE5704">
            <w:pPr>
              <w:numPr>
                <w:ilvl w:val="0"/>
                <w:numId w:val="26"/>
              </w:numPr>
              <w:rPr>
                <w:sz w:val="22"/>
                <w:szCs w:val="22"/>
              </w:rPr>
            </w:pPr>
            <w:r w:rsidRPr="55AE5704">
              <w:rPr>
                <w:b/>
                <w:bCs/>
                <w:sz w:val="22"/>
                <w:szCs w:val="22"/>
              </w:rPr>
              <w:t>Curriculum Design</w:t>
            </w:r>
            <w:r w:rsidRPr="55AE5704">
              <w:rPr>
                <w:sz w:val="22"/>
                <w:szCs w:val="22"/>
              </w:rPr>
              <w:t>: Promoting project-</w:t>
            </w:r>
            <w:r w:rsidRPr="55AE5704">
              <w:rPr>
                <w:sz w:val="22"/>
                <w:szCs w:val="22"/>
              </w:rPr>
              <w:lastRenderedPageBreak/>
              <w:t>based, interdisciplinary learning and offering professional development to support social justice teaching.</w:t>
            </w:r>
          </w:p>
          <w:p w14:paraId="55FE87E2" w14:textId="77777777" w:rsidR="764CE7B9" w:rsidRDefault="764CE7B9" w:rsidP="55AE5704">
            <w:pPr>
              <w:numPr>
                <w:ilvl w:val="0"/>
                <w:numId w:val="26"/>
              </w:numPr>
              <w:rPr>
                <w:sz w:val="22"/>
                <w:szCs w:val="22"/>
              </w:rPr>
            </w:pPr>
            <w:r w:rsidRPr="55AE5704">
              <w:rPr>
                <w:b/>
                <w:bCs/>
                <w:sz w:val="22"/>
                <w:szCs w:val="22"/>
              </w:rPr>
              <w:t>Assessment Innovation</w:t>
            </w:r>
            <w:r w:rsidRPr="55AE5704">
              <w:rPr>
                <w:sz w:val="22"/>
                <w:szCs w:val="22"/>
              </w:rPr>
              <w:t>: Using reflective and authentic assessments (e.g. portfolios, essays) that builds students skills and expertise.</w:t>
            </w:r>
          </w:p>
          <w:p w14:paraId="74FFFB32" w14:textId="66B64576" w:rsidR="764CE7B9" w:rsidRDefault="764CE7B9" w:rsidP="55AE5704">
            <w:pPr>
              <w:numPr>
                <w:ilvl w:val="0"/>
                <w:numId w:val="26"/>
              </w:numPr>
              <w:rPr>
                <w:sz w:val="22"/>
                <w:szCs w:val="22"/>
              </w:rPr>
            </w:pPr>
            <w:r w:rsidRPr="55AE5704">
              <w:rPr>
                <w:b/>
                <w:bCs/>
                <w:sz w:val="22"/>
                <w:szCs w:val="22"/>
              </w:rPr>
              <w:t>Long-term Vision</w:t>
            </w:r>
            <w:r w:rsidRPr="55AE5704">
              <w:rPr>
                <w:sz w:val="22"/>
                <w:szCs w:val="22"/>
              </w:rPr>
              <w:t>: Fostering empathetic, informed, and active citizens by embedding social justice at the heart of education.</w:t>
            </w:r>
          </w:p>
          <w:p w14:paraId="76F1C269" w14:textId="2C9E6452" w:rsidR="55AE5704" w:rsidRDefault="55AE5704" w:rsidP="55AE5704">
            <w:pPr>
              <w:rPr>
                <w:sz w:val="22"/>
                <w:szCs w:val="22"/>
              </w:rPr>
            </w:pPr>
          </w:p>
        </w:tc>
      </w:tr>
    </w:tbl>
    <w:p w14:paraId="7F87D4F5" w14:textId="3EDC02A7" w:rsidR="55AE5704" w:rsidRDefault="55AE5704" w:rsidP="55AE5704">
      <w:pPr>
        <w:rPr>
          <w:sz w:val="22"/>
          <w:szCs w:val="22"/>
        </w:rPr>
      </w:pPr>
    </w:p>
    <w:p w14:paraId="0625091B" w14:textId="7219D120" w:rsidR="55AE5704" w:rsidRDefault="55AE5704" w:rsidP="55AE5704">
      <w:pPr>
        <w:rPr>
          <w:b/>
          <w:bCs/>
          <w:sz w:val="22"/>
          <w:szCs w:val="22"/>
        </w:rPr>
      </w:pPr>
    </w:p>
    <w:p w14:paraId="59660E55" w14:textId="013FE26B" w:rsidR="46098438" w:rsidRDefault="46098438" w:rsidP="46098438">
      <w:pPr>
        <w:rPr>
          <w:b/>
          <w:bCs/>
          <w:sz w:val="22"/>
          <w:szCs w:val="22"/>
        </w:rPr>
      </w:pPr>
    </w:p>
    <w:p w14:paraId="1382A08A" w14:textId="4252965D" w:rsidR="23302729" w:rsidRDefault="23302729" w:rsidP="23302729">
      <w:pPr>
        <w:rPr>
          <w:b/>
          <w:bCs/>
          <w:sz w:val="22"/>
          <w:szCs w:val="22"/>
        </w:rPr>
      </w:pPr>
    </w:p>
    <w:p w14:paraId="15163360" w14:textId="7816854E" w:rsidR="23302729" w:rsidRDefault="23302729" w:rsidP="23302729">
      <w:pPr>
        <w:rPr>
          <w:b/>
          <w:bCs/>
          <w:sz w:val="22"/>
          <w:szCs w:val="22"/>
        </w:rPr>
      </w:pPr>
    </w:p>
    <w:p w14:paraId="738EB217" w14:textId="77777777" w:rsidR="00586019" w:rsidRPr="00BC7FCE" w:rsidRDefault="00586019" w:rsidP="23302729">
      <w:pPr>
        <w:rPr>
          <w:b/>
          <w:bCs/>
        </w:rPr>
      </w:pPr>
    </w:p>
    <w:p w14:paraId="779A5730" w14:textId="1EEDD931" w:rsidR="55AE5704" w:rsidRPr="00BC7FCE" w:rsidRDefault="16199341" w:rsidP="00777588">
      <w:pPr>
        <w:rPr>
          <w:b/>
          <w:bCs/>
        </w:rPr>
      </w:pPr>
      <w:r w:rsidRPr="00BC7FCE">
        <w:rPr>
          <w:b/>
          <w:bCs/>
        </w:rPr>
        <w:lastRenderedPageBreak/>
        <w:t xml:space="preserve">Using the ESJF Toolkit in validation/revalidation </w:t>
      </w:r>
    </w:p>
    <w:p w14:paraId="3AAC755D" w14:textId="2D7BA052" w:rsidR="16199341" w:rsidRDefault="16199341" w:rsidP="55AE5704">
      <w:pPr>
        <w:spacing w:after="0" w:line="240" w:lineRule="auto"/>
        <w:rPr>
          <w:sz w:val="22"/>
          <w:szCs w:val="22"/>
        </w:rPr>
      </w:pPr>
      <w:r w:rsidRPr="55AE5704">
        <w:rPr>
          <w:sz w:val="22"/>
          <w:szCs w:val="22"/>
        </w:rPr>
        <w:t xml:space="preserve">The </w:t>
      </w:r>
      <w:hyperlink r:id="rId15">
        <w:r w:rsidRPr="55AE5704">
          <w:rPr>
            <w:rStyle w:val="Hyperlink"/>
            <w:sz w:val="22"/>
            <w:szCs w:val="22"/>
          </w:rPr>
          <w:t>ESJF Toolkit and Resources can be accessed on London Met’s Teaching Success Hub</w:t>
        </w:r>
      </w:hyperlink>
      <w:r w:rsidRPr="55AE5704">
        <w:rPr>
          <w:sz w:val="22"/>
          <w:szCs w:val="22"/>
        </w:rPr>
        <w:t xml:space="preserve">. Colleagues </w:t>
      </w:r>
      <w:proofErr w:type="gramStart"/>
      <w:r w:rsidRPr="55AE5704">
        <w:rPr>
          <w:sz w:val="22"/>
          <w:szCs w:val="22"/>
        </w:rPr>
        <w:t>are able to</w:t>
      </w:r>
      <w:proofErr w:type="gramEnd"/>
      <w:r w:rsidRPr="55AE5704">
        <w:rPr>
          <w:sz w:val="22"/>
          <w:szCs w:val="22"/>
        </w:rPr>
        <w:t xml:space="preserve"> download the Toolkit and use the reflective prompts to consider the questions outlined abo</w:t>
      </w:r>
      <w:r w:rsidR="7E9F8644" w:rsidRPr="55AE5704">
        <w:rPr>
          <w:sz w:val="22"/>
          <w:szCs w:val="22"/>
        </w:rPr>
        <w:t xml:space="preserve">ve. </w:t>
      </w:r>
    </w:p>
    <w:p w14:paraId="4644E2D2" w14:textId="5F6D9110" w:rsidR="55AE5704" w:rsidRDefault="55AE5704" w:rsidP="55AE5704">
      <w:pPr>
        <w:spacing w:after="0" w:line="240" w:lineRule="auto"/>
        <w:rPr>
          <w:sz w:val="22"/>
          <w:szCs w:val="22"/>
        </w:rPr>
      </w:pPr>
    </w:p>
    <w:p w14:paraId="088E731F" w14:textId="4D208DD8" w:rsidR="7E9F8644" w:rsidRDefault="7E9F8644" w:rsidP="55AE5704">
      <w:pPr>
        <w:spacing w:after="0" w:line="240" w:lineRule="auto"/>
        <w:rPr>
          <w:sz w:val="22"/>
          <w:szCs w:val="22"/>
        </w:rPr>
      </w:pPr>
      <w:r w:rsidRPr="55AE5704">
        <w:rPr>
          <w:sz w:val="22"/>
          <w:szCs w:val="22"/>
        </w:rPr>
        <w:t xml:space="preserve">For the purposes of summarising at the point of validation/revalidation, </w:t>
      </w:r>
      <w:r w:rsidR="403DD1C9" w:rsidRPr="55AE5704">
        <w:rPr>
          <w:sz w:val="22"/>
          <w:szCs w:val="22"/>
        </w:rPr>
        <w:t>colleagues</w:t>
      </w:r>
      <w:r w:rsidRPr="55AE5704">
        <w:rPr>
          <w:sz w:val="22"/>
          <w:szCs w:val="22"/>
        </w:rPr>
        <w:t xml:space="preserve"> can use the template below to provide a </w:t>
      </w:r>
      <w:r w:rsidR="425AA836" w:rsidRPr="55AE5704">
        <w:rPr>
          <w:sz w:val="22"/>
          <w:szCs w:val="22"/>
        </w:rPr>
        <w:t xml:space="preserve">brief </w:t>
      </w:r>
      <w:r w:rsidRPr="55AE5704">
        <w:rPr>
          <w:sz w:val="22"/>
          <w:szCs w:val="22"/>
        </w:rPr>
        <w:t xml:space="preserve">statement on how the ESJF principles are realised. </w:t>
      </w:r>
    </w:p>
    <w:p w14:paraId="37B61159" w14:textId="3287CFF9" w:rsidR="55AE5704" w:rsidRDefault="55AE5704" w:rsidP="55AE5704">
      <w:pPr>
        <w:spacing w:after="0" w:line="240" w:lineRule="auto"/>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650"/>
        <w:gridCol w:w="9405"/>
      </w:tblGrid>
      <w:tr w:rsidR="55AE5704" w14:paraId="76BC4BC4" w14:textId="77777777" w:rsidTr="00282CE9">
        <w:trPr>
          <w:trHeight w:val="300"/>
        </w:trPr>
        <w:tc>
          <w:tcPr>
            <w:tcW w:w="4650" w:type="dxa"/>
          </w:tcPr>
          <w:p w14:paraId="120CEFFC" w14:textId="050046E9" w:rsidR="27ABAAE1" w:rsidRDefault="27ABAAE1" w:rsidP="55AE5704">
            <w:pPr>
              <w:rPr>
                <w:b/>
                <w:bCs/>
                <w:sz w:val="22"/>
                <w:szCs w:val="22"/>
              </w:rPr>
            </w:pPr>
            <w:r w:rsidRPr="55AE5704">
              <w:rPr>
                <w:b/>
                <w:bCs/>
                <w:sz w:val="22"/>
                <w:szCs w:val="22"/>
              </w:rPr>
              <w:t>ESJF Principle</w:t>
            </w:r>
          </w:p>
        </w:tc>
        <w:tc>
          <w:tcPr>
            <w:tcW w:w="9405" w:type="dxa"/>
          </w:tcPr>
          <w:p w14:paraId="70715275" w14:textId="4FFA52D3" w:rsidR="27ABAAE1" w:rsidRDefault="27ABAAE1" w:rsidP="55AE5704">
            <w:pPr>
              <w:rPr>
                <w:b/>
                <w:bCs/>
                <w:sz w:val="22"/>
                <w:szCs w:val="22"/>
              </w:rPr>
            </w:pPr>
            <w:r w:rsidRPr="55AE5704">
              <w:rPr>
                <w:b/>
                <w:bCs/>
                <w:color w:val="000000" w:themeColor="text1"/>
                <w:sz w:val="22"/>
                <w:szCs w:val="22"/>
              </w:rPr>
              <w:t xml:space="preserve">Provide a brief statement considering the sections above and the reflective prompts in the ESJF Toolkit </w:t>
            </w:r>
          </w:p>
        </w:tc>
      </w:tr>
      <w:tr w:rsidR="55AE5704" w14:paraId="0AFEE326" w14:textId="77777777" w:rsidTr="00282CE9">
        <w:trPr>
          <w:trHeight w:val="300"/>
        </w:trPr>
        <w:tc>
          <w:tcPr>
            <w:tcW w:w="4650" w:type="dxa"/>
          </w:tcPr>
          <w:p w14:paraId="5CDF4CA0" w14:textId="157FC817" w:rsidR="55AE5704" w:rsidRDefault="55AE5704" w:rsidP="55AE5704">
            <w:pPr>
              <w:rPr>
                <w:sz w:val="22"/>
                <w:szCs w:val="22"/>
              </w:rPr>
            </w:pPr>
          </w:p>
          <w:p w14:paraId="71BC8A5C" w14:textId="78056E05" w:rsidR="55AE5704" w:rsidRDefault="55AE5704" w:rsidP="55AE5704">
            <w:pPr>
              <w:rPr>
                <w:sz w:val="22"/>
                <w:szCs w:val="22"/>
              </w:rPr>
            </w:pPr>
          </w:p>
          <w:p w14:paraId="087AA3EA" w14:textId="35814C35" w:rsidR="27ABAAE1" w:rsidRDefault="27ABAAE1" w:rsidP="55AE5704">
            <w:pPr>
              <w:rPr>
                <w:sz w:val="22"/>
                <w:szCs w:val="22"/>
              </w:rPr>
            </w:pPr>
            <w:r w:rsidRPr="55AE5704">
              <w:rPr>
                <w:sz w:val="22"/>
                <w:szCs w:val="22"/>
              </w:rPr>
              <w:t>Principle 1</w:t>
            </w:r>
          </w:p>
          <w:p w14:paraId="687F38E5" w14:textId="34454C26" w:rsidR="27ABAAE1" w:rsidRDefault="27ABAAE1" w:rsidP="55AE5704">
            <w:pPr>
              <w:rPr>
                <w:b/>
                <w:bCs/>
                <w:i/>
                <w:iCs/>
                <w:sz w:val="22"/>
                <w:szCs w:val="22"/>
              </w:rPr>
            </w:pPr>
            <w:r w:rsidRPr="55AE5704">
              <w:rPr>
                <w:b/>
                <w:bCs/>
                <w:sz w:val="22"/>
                <w:szCs w:val="22"/>
              </w:rPr>
              <w:t xml:space="preserve">An Accessible Curriculum - </w:t>
            </w:r>
            <w:r w:rsidRPr="55AE5704">
              <w:rPr>
                <w:i/>
                <w:iCs/>
                <w:sz w:val="22"/>
                <w:szCs w:val="22"/>
              </w:rPr>
              <w:t>A curriculum that places students at the heart of the learning experience</w:t>
            </w:r>
          </w:p>
          <w:p w14:paraId="50944D98" w14:textId="4ED3B34C" w:rsidR="55AE5704" w:rsidRDefault="55AE5704" w:rsidP="55AE5704">
            <w:pPr>
              <w:rPr>
                <w:i/>
                <w:iCs/>
                <w:sz w:val="22"/>
                <w:szCs w:val="22"/>
              </w:rPr>
            </w:pPr>
          </w:p>
        </w:tc>
        <w:tc>
          <w:tcPr>
            <w:tcW w:w="9405" w:type="dxa"/>
          </w:tcPr>
          <w:p w14:paraId="6E0779C4" w14:textId="3AE60C5C" w:rsidR="55AE5704" w:rsidRDefault="55AE5704" w:rsidP="55AE5704">
            <w:pPr>
              <w:rPr>
                <w:sz w:val="22"/>
                <w:szCs w:val="22"/>
              </w:rPr>
            </w:pPr>
          </w:p>
        </w:tc>
      </w:tr>
      <w:tr w:rsidR="55AE5704" w14:paraId="00F32BFA" w14:textId="77777777" w:rsidTr="00282CE9">
        <w:trPr>
          <w:trHeight w:val="300"/>
        </w:trPr>
        <w:tc>
          <w:tcPr>
            <w:tcW w:w="4650" w:type="dxa"/>
          </w:tcPr>
          <w:p w14:paraId="7433A205" w14:textId="4A3A9A82" w:rsidR="55AE5704" w:rsidRDefault="55AE5704" w:rsidP="55AE5704">
            <w:pPr>
              <w:rPr>
                <w:sz w:val="22"/>
                <w:szCs w:val="22"/>
              </w:rPr>
            </w:pPr>
          </w:p>
          <w:p w14:paraId="0F65E3DA" w14:textId="0252B081" w:rsidR="27ABAAE1" w:rsidRDefault="27ABAAE1" w:rsidP="55AE5704">
            <w:pPr>
              <w:rPr>
                <w:sz w:val="22"/>
                <w:szCs w:val="22"/>
              </w:rPr>
            </w:pPr>
            <w:r w:rsidRPr="55AE5704">
              <w:rPr>
                <w:sz w:val="22"/>
                <w:szCs w:val="22"/>
              </w:rPr>
              <w:t xml:space="preserve">Principle 2 </w:t>
            </w:r>
          </w:p>
          <w:p w14:paraId="0991613C" w14:textId="4D38F937" w:rsidR="27ABAAE1" w:rsidRDefault="27ABAAE1" w:rsidP="55AE5704">
            <w:pPr>
              <w:rPr>
                <w:sz w:val="22"/>
                <w:szCs w:val="22"/>
              </w:rPr>
            </w:pPr>
            <w:r w:rsidRPr="55AE5704">
              <w:rPr>
                <w:b/>
                <w:bCs/>
                <w:sz w:val="22"/>
                <w:szCs w:val="22"/>
              </w:rPr>
              <w:t xml:space="preserve">A Reflective Curriculum - </w:t>
            </w:r>
            <w:r w:rsidRPr="55AE5704">
              <w:rPr>
                <w:i/>
                <w:iCs/>
                <w:sz w:val="22"/>
                <w:szCs w:val="22"/>
              </w:rPr>
              <w:t>Enable students to see themselves reflected in the curriculum</w:t>
            </w:r>
          </w:p>
          <w:p w14:paraId="576C90B1" w14:textId="3F2022F7" w:rsidR="55AE5704" w:rsidRDefault="55AE5704" w:rsidP="55AE5704">
            <w:pPr>
              <w:rPr>
                <w:i/>
                <w:iCs/>
                <w:sz w:val="22"/>
                <w:szCs w:val="22"/>
              </w:rPr>
            </w:pPr>
          </w:p>
          <w:p w14:paraId="27D6BEC7" w14:textId="7B6C14B8" w:rsidR="55AE5704" w:rsidRDefault="55AE5704" w:rsidP="55AE5704">
            <w:pPr>
              <w:rPr>
                <w:sz w:val="22"/>
                <w:szCs w:val="22"/>
              </w:rPr>
            </w:pPr>
          </w:p>
        </w:tc>
        <w:tc>
          <w:tcPr>
            <w:tcW w:w="9405" w:type="dxa"/>
          </w:tcPr>
          <w:p w14:paraId="56F0D9B7" w14:textId="3AE60C5C" w:rsidR="55AE5704" w:rsidRDefault="55AE5704" w:rsidP="55AE5704">
            <w:pPr>
              <w:rPr>
                <w:sz w:val="22"/>
                <w:szCs w:val="22"/>
              </w:rPr>
            </w:pPr>
          </w:p>
        </w:tc>
      </w:tr>
      <w:tr w:rsidR="55AE5704" w14:paraId="6F18A2CA" w14:textId="77777777" w:rsidTr="00282CE9">
        <w:trPr>
          <w:trHeight w:val="300"/>
        </w:trPr>
        <w:tc>
          <w:tcPr>
            <w:tcW w:w="4650" w:type="dxa"/>
          </w:tcPr>
          <w:p w14:paraId="390AFB5C" w14:textId="49D40588" w:rsidR="55AE5704" w:rsidRDefault="55AE5704" w:rsidP="55AE5704">
            <w:pPr>
              <w:rPr>
                <w:sz w:val="22"/>
                <w:szCs w:val="22"/>
              </w:rPr>
            </w:pPr>
          </w:p>
          <w:p w14:paraId="6A697C30" w14:textId="6000D8BB" w:rsidR="27ABAAE1" w:rsidRDefault="27ABAAE1" w:rsidP="55AE5704">
            <w:pPr>
              <w:rPr>
                <w:i/>
                <w:iCs/>
                <w:sz w:val="22"/>
                <w:szCs w:val="22"/>
              </w:rPr>
            </w:pPr>
            <w:r w:rsidRPr="55AE5704">
              <w:rPr>
                <w:sz w:val="22"/>
                <w:szCs w:val="22"/>
              </w:rPr>
              <w:t xml:space="preserve">Principle 3 </w:t>
            </w:r>
          </w:p>
          <w:p w14:paraId="5C04E2E3" w14:textId="5713C63E" w:rsidR="27ABAAE1" w:rsidRDefault="27ABAAE1" w:rsidP="55AE5704">
            <w:pPr>
              <w:rPr>
                <w:i/>
                <w:iCs/>
                <w:sz w:val="22"/>
                <w:szCs w:val="22"/>
              </w:rPr>
            </w:pPr>
            <w:r w:rsidRPr="55AE5704">
              <w:rPr>
                <w:b/>
                <w:bCs/>
                <w:sz w:val="22"/>
                <w:szCs w:val="22"/>
              </w:rPr>
              <w:t xml:space="preserve">An Empowering Curriculum - </w:t>
            </w:r>
            <w:r w:rsidRPr="55AE5704">
              <w:rPr>
                <w:i/>
                <w:iCs/>
                <w:sz w:val="22"/>
                <w:szCs w:val="22"/>
              </w:rPr>
              <w:t>Equip students with the skills to positively contribute to and work in a global and diverse world</w:t>
            </w:r>
          </w:p>
          <w:p w14:paraId="7A8E9EE1" w14:textId="50EEA560" w:rsidR="55AE5704" w:rsidRDefault="55AE5704" w:rsidP="55AE5704">
            <w:pPr>
              <w:rPr>
                <w:i/>
                <w:iCs/>
                <w:sz w:val="22"/>
                <w:szCs w:val="22"/>
              </w:rPr>
            </w:pPr>
          </w:p>
          <w:p w14:paraId="1A5D11FE" w14:textId="6EF95232" w:rsidR="55AE5704" w:rsidRDefault="55AE5704" w:rsidP="55AE5704">
            <w:pPr>
              <w:rPr>
                <w:sz w:val="22"/>
                <w:szCs w:val="22"/>
              </w:rPr>
            </w:pPr>
          </w:p>
        </w:tc>
        <w:tc>
          <w:tcPr>
            <w:tcW w:w="9405" w:type="dxa"/>
          </w:tcPr>
          <w:p w14:paraId="65410A9A" w14:textId="3AE60C5C" w:rsidR="55AE5704" w:rsidRDefault="55AE5704" w:rsidP="55AE5704">
            <w:pPr>
              <w:rPr>
                <w:sz w:val="22"/>
                <w:szCs w:val="22"/>
              </w:rPr>
            </w:pPr>
          </w:p>
        </w:tc>
      </w:tr>
    </w:tbl>
    <w:p w14:paraId="7EC0A25C" w14:textId="0AFE6CA4" w:rsidR="55AE5704" w:rsidRDefault="55AE5704" w:rsidP="55AE5704">
      <w:pPr>
        <w:spacing w:after="0" w:line="240" w:lineRule="auto"/>
        <w:rPr>
          <w:sz w:val="22"/>
          <w:szCs w:val="22"/>
        </w:rPr>
      </w:pPr>
    </w:p>
    <w:p w14:paraId="6E69FA8C" w14:textId="45EB6D28" w:rsidR="000CCBD2" w:rsidRDefault="000CCBD2" w:rsidP="55AE5704">
      <w:pPr>
        <w:spacing w:after="0" w:line="240" w:lineRule="auto"/>
        <w:rPr>
          <w:sz w:val="22"/>
          <w:szCs w:val="22"/>
        </w:rPr>
      </w:pPr>
      <w:r w:rsidRPr="55AE5704">
        <w:rPr>
          <w:sz w:val="22"/>
          <w:szCs w:val="22"/>
        </w:rPr>
        <w:t xml:space="preserve">If you require further information, help or guidance on applying the ESJF, please contact </w:t>
      </w:r>
      <w:hyperlink r:id="rId16">
        <w:r w:rsidRPr="55AE5704">
          <w:rPr>
            <w:rStyle w:val="Hyperlink"/>
            <w:sz w:val="22"/>
            <w:szCs w:val="22"/>
          </w:rPr>
          <w:t>cte@londonmet.ac.uk</w:t>
        </w:r>
      </w:hyperlink>
      <w:r w:rsidRPr="55AE5704">
        <w:rPr>
          <w:sz w:val="22"/>
          <w:szCs w:val="22"/>
        </w:rPr>
        <w:t xml:space="preserve"> </w:t>
      </w:r>
    </w:p>
    <w:sectPr w:rsidR="000CCBD2" w:rsidSect="00846A27">
      <w:headerReference w:type="default" r:id="rId17"/>
      <w:footerReference w:type="default" r:id="rId18"/>
      <w:headerReference w:type="first" r:id="rId19"/>
      <w:footerReference w:type="first" r:id="rId20"/>
      <w:pgSz w:w="16840" w:h="11900" w:orient="landscape"/>
      <w:pgMar w:top="1440" w:right="1440" w:bottom="1440" w:left="1440" w:header="706"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F1C1" w14:textId="77777777" w:rsidR="007A77EC" w:rsidRDefault="007A77EC">
      <w:pPr>
        <w:spacing w:after="0" w:line="240" w:lineRule="auto"/>
      </w:pPr>
      <w:r>
        <w:separator/>
      </w:r>
    </w:p>
  </w:endnote>
  <w:endnote w:type="continuationSeparator" w:id="0">
    <w:p w14:paraId="2DD9A5A5" w14:textId="77777777" w:rsidR="007A77EC" w:rsidRDefault="007A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0" w14:textId="28832943" w:rsidR="00781DB6" w:rsidRPr="005A7F28" w:rsidRDefault="2A2D710D" w:rsidP="005A7F28">
    <w:pPr>
      <w:pStyle w:val="Footer"/>
    </w:pPr>
    <w:r w:rsidRPr="2A2D710D">
      <w:rPr>
        <w:color w:val="000000" w:themeColor="text1"/>
        <w:sz w:val="20"/>
        <w:szCs w:val="20"/>
      </w:rPr>
      <w:t>AQD011 Education for Social Justice Framework 2025/202</w:t>
    </w:r>
    <w:sdt>
      <w:sdtPr>
        <w:rPr>
          <w:color w:val="000000" w:themeColor="text1"/>
          <w:sz w:val="20"/>
          <w:szCs w:val="20"/>
        </w:rPr>
        <w:id w:val="-1335214299"/>
        <w:docPartObj>
          <w:docPartGallery w:val="Page Numbers (Bottom of Page)"/>
          <w:docPartUnique/>
        </w:docPartObj>
      </w:sdtPr>
      <w:sdtContent>
        <w:r w:rsidR="0079001F">
          <w:rPr>
            <w:color w:val="000000" w:themeColor="text1"/>
            <w:sz w:val="20"/>
            <w:szCs w:val="20"/>
          </w:rPr>
          <w:t>6</w:t>
        </w:r>
        <w:r w:rsidR="005A7F28">
          <w:tab/>
        </w:r>
        <w:r w:rsidR="005A7F28">
          <w:tab/>
        </w:r>
        <w:r w:rsidR="005A7F28">
          <w:tab/>
        </w:r>
        <w:r w:rsidR="005A7F28">
          <w:tab/>
        </w:r>
        <w:r w:rsidR="005A7F28">
          <w:tab/>
        </w:r>
        <w:r w:rsidR="005A7F28" w:rsidRPr="2A2D710D">
          <w:rPr>
            <w:color w:val="000000" w:themeColor="text1"/>
            <w:sz w:val="20"/>
            <w:szCs w:val="20"/>
          </w:rPr>
          <w:fldChar w:fldCharType="begin"/>
        </w:r>
        <w:r w:rsidR="005A7F28" w:rsidRPr="2A2D710D">
          <w:rPr>
            <w:color w:val="000000" w:themeColor="text1"/>
            <w:sz w:val="20"/>
            <w:szCs w:val="20"/>
          </w:rPr>
          <w:instrText xml:space="preserve"> PAGE   \* MERGEFORMAT </w:instrText>
        </w:r>
        <w:r w:rsidR="005A7F28" w:rsidRPr="2A2D710D">
          <w:rPr>
            <w:color w:val="000000" w:themeColor="text1"/>
            <w:sz w:val="20"/>
            <w:szCs w:val="20"/>
          </w:rPr>
          <w:fldChar w:fldCharType="separate"/>
        </w:r>
        <w:r w:rsidRPr="2A2D710D">
          <w:rPr>
            <w:color w:val="000000" w:themeColor="text1"/>
            <w:sz w:val="20"/>
            <w:szCs w:val="20"/>
          </w:rPr>
          <w:t>1</w:t>
        </w:r>
        <w:r w:rsidR="005A7F28" w:rsidRPr="2A2D710D">
          <w:rPr>
            <w:color w:val="000000" w:themeColor="text1"/>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3C58" w14:textId="562794B2" w:rsidR="005A7F28" w:rsidRDefault="005A7F28" w:rsidP="005A7F28">
    <w:pPr>
      <w:pStyle w:val="Footer"/>
    </w:pPr>
    <w:r>
      <w:rPr>
        <w:color w:val="000000"/>
        <w:sz w:val="20"/>
        <w:szCs w:val="20"/>
      </w:rPr>
      <w:t>AQD011 Education for Social Justice Framework 2021/2022</w:t>
    </w:r>
    <w:sdt>
      <w:sdtPr>
        <w:id w:val="-1091231248"/>
        <w:docPartObj>
          <w:docPartGallery w:val="Page Numbers (Bottom of Page)"/>
          <w:docPartUnique/>
        </w:docPartObj>
      </w:sdtPr>
      <w:sdtEndPr>
        <w:rPr>
          <w:noProof/>
        </w:rPr>
      </w:sdtEndPr>
      <w:sdtContent>
        <w:r>
          <w:tab/>
        </w:r>
        <w:r>
          <w:tab/>
        </w:r>
        <w:r>
          <w:tab/>
        </w:r>
        <w:r>
          <w:tab/>
        </w:r>
        <w:r>
          <w:tab/>
        </w:r>
        <w:r>
          <w:fldChar w:fldCharType="begin"/>
        </w:r>
        <w:r>
          <w:instrText xml:space="preserve"> PAGE   \* MERGEFORMAT </w:instrText>
        </w:r>
        <w:r>
          <w:fldChar w:fldCharType="separate"/>
        </w:r>
        <w:r>
          <w:rPr>
            <w:noProof/>
          </w:rPr>
          <w:t>2</w:t>
        </w:r>
        <w:r>
          <w:rPr>
            <w:noProof/>
          </w:rPr>
          <w:fldChar w:fldCharType="end"/>
        </w:r>
      </w:sdtContent>
    </w:sdt>
  </w:p>
  <w:p w14:paraId="00000081" w14:textId="240518E8" w:rsidR="00781DB6" w:rsidRDefault="00781DB6" w:rsidP="005A7F28">
    <w:pPr>
      <w:widowControl/>
      <w:pBdr>
        <w:top w:val="nil"/>
        <w:left w:val="nil"/>
        <w:bottom w:val="nil"/>
        <w:right w:val="nil"/>
        <w:between w:val="nil"/>
      </w:pBdr>
      <w:tabs>
        <w:tab w:val="center" w:pos="4320"/>
        <w:tab w:val="right" w:pos="8640"/>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93BA" w14:textId="77777777" w:rsidR="007A77EC" w:rsidRDefault="007A77EC">
      <w:pPr>
        <w:spacing w:after="0" w:line="240" w:lineRule="auto"/>
      </w:pPr>
      <w:r>
        <w:separator/>
      </w:r>
    </w:p>
  </w:footnote>
  <w:footnote w:type="continuationSeparator" w:id="0">
    <w:p w14:paraId="7AC61829" w14:textId="77777777" w:rsidR="007A77EC" w:rsidRDefault="007A7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961F" w14:textId="04112A2F" w:rsidR="00846A27" w:rsidRDefault="00846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F" w14:textId="77777777" w:rsidR="00781DB6" w:rsidRDefault="00217602">
    <w:pPr>
      <w:widowControl/>
      <w:pBdr>
        <w:top w:val="nil"/>
        <w:left w:val="nil"/>
        <w:bottom w:val="nil"/>
        <w:right w:val="nil"/>
        <w:between w:val="nil"/>
      </w:pBdr>
      <w:tabs>
        <w:tab w:val="center" w:pos="4320"/>
        <w:tab w:val="right" w:pos="8640"/>
      </w:tabs>
      <w:rPr>
        <w:rFonts w:ascii="Cambria" w:eastAsia="Cambria" w:hAnsi="Cambria" w:cs="Cambria"/>
        <w:color w:val="000000"/>
      </w:rPr>
    </w:pPr>
    <w:r>
      <w:rPr>
        <w:noProof/>
      </w:rPr>
      <w:drawing>
        <wp:anchor distT="0" distB="0" distL="114300" distR="114300" simplePos="0" relativeHeight="251658240" behindDoc="0" locked="0" layoutInCell="1" hidden="0" allowOverlap="1" wp14:anchorId="17587931" wp14:editId="791D7190">
          <wp:simplePos x="0" y="0"/>
          <wp:positionH relativeFrom="column">
            <wp:posOffset>-283208</wp:posOffset>
          </wp:positionH>
          <wp:positionV relativeFrom="paragraph">
            <wp:posOffset>-669923</wp:posOffset>
          </wp:positionV>
          <wp:extent cx="2160905" cy="554355"/>
          <wp:effectExtent l="0" t="0" r="0" b="0"/>
          <wp:wrapNone/>
          <wp:docPr id="1"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152F"/>
    <w:multiLevelType w:val="multilevel"/>
    <w:tmpl w:val="E50E047C"/>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o"/>
      <w:lvlJc w:val="left"/>
      <w:pPr>
        <w:tabs>
          <w:tab w:val="num" w:pos="1440"/>
        </w:tabs>
        <w:ind w:left="1080" w:hanging="360"/>
      </w:pPr>
      <w:rPr>
        <w:rFonts w:ascii="Courier New" w:hAnsi="Courier New" w:hint="default"/>
        <w:sz w:val="20"/>
      </w:rPr>
    </w:lvl>
    <w:lvl w:ilvl="2" w:tentative="1">
      <w:start w:val="1"/>
      <w:numFmt w:val="bullet"/>
      <w:lvlText w:val=""/>
      <w:lvlJc w:val="left"/>
      <w:pPr>
        <w:tabs>
          <w:tab w:val="num" w:pos="2160"/>
        </w:tabs>
        <w:ind w:left="1800" w:hanging="360"/>
      </w:pPr>
      <w:rPr>
        <w:rFonts w:ascii="Wingdings" w:hAnsi="Wingdings" w:hint="default"/>
        <w:sz w:val="20"/>
      </w:rPr>
    </w:lvl>
    <w:lvl w:ilvl="3" w:tentative="1">
      <w:start w:val="1"/>
      <w:numFmt w:val="bullet"/>
      <w:lvlText w:val=""/>
      <w:lvlJc w:val="left"/>
      <w:pPr>
        <w:tabs>
          <w:tab w:val="num" w:pos="2880"/>
        </w:tabs>
        <w:ind w:left="2520" w:hanging="360"/>
      </w:pPr>
      <w:rPr>
        <w:rFonts w:ascii="Wingdings" w:hAnsi="Wingdings" w:hint="default"/>
        <w:sz w:val="20"/>
      </w:rPr>
    </w:lvl>
    <w:lvl w:ilvl="4" w:tentative="1">
      <w:start w:val="1"/>
      <w:numFmt w:val="bullet"/>
      <w:lvlText w:val=""/>
      <w:lvlJc w:val="left"/>
      <w:pPr>
        <w:tabs>
          <w:tab w:val="num" w:pos="3600"/>
        </w:tabs>
        <w:ind w:left="3240" w:hanging="360"/>
      </w:pPr>
      <w:rPr>
        <w:rFonts w:ascii="Wingdings" w:hAnsi="Wingdings" w:hint="default"/>
        <w:sz w:val="20"/>
      </w:rPr>
    </w:lvl>
    <w:lvl w:ilvl="5" w:tentative="1">
      <w:start w:val="1"/>
      <w:numFmt w:val="bullet"/>
      <w:lvlText w:val=""/>
      <w:lvlJc w:val="left"/>
      <w:pPr>
        <w:tabs>
          <w:tab w:val="num" w:pos="4320"/>
        </w:tabs>
        <w:ind w:left="3960" w:hanging="360"/>
      </w:pPr>
      <w:rPr>
        <w:rFonts w:ascii="Wingdings" w:hAnsi="Wingdings" w:hint="default"/>
        <w:sz w:val="20"/>
      </w:rPr>
    </w:lvl>
    <w:lvl w:ilvl="6" w:tentative="1">
      <w:start w:val="1"/>
      <w:numFmt w:val="bullet"/>
      <w:lvlText w:val=""/>
      <w:lvlJc w:val="left"/>
      <w:pPr>
        <w:tabs>
          <w:tab w:val="num" w:pos="5040"/>
        </w:tabs>
        <w:ind w:left="4680" w:hanging="360"/>
      </w:pPr>
      <w:rPr>
        <w:rFonts w:ascii="Wingdings" w:hAnsi="Wingdings" w:hint="default"/>
        <w:sz w:val="20"/>
      </w:rPr>
    </w:lvl>
    <w:lvl w:ilvl="7" w:tentative="1">
      <w:start w:val="1"/>
      <w:numFmt w:val="bullet"/>
      <w:lvlText w:val=""/>
      <w:lvlJc w:val="left"/>
      <w:pPr>
        <w:tabs>
          <w:tab w:val="num" w:pos="5760"/>
        </w:tabs>
        <w:ind w:left="5400" w:hanging="360"/>
      </w:pPr>
      <w:rPr>
        <w:rFonts w:ascii="Wingdings" w:hAnsi="Wingdings" w:hint="default"/>
        <w:sz w:val="20"/>
      </w:rPr>
    </w:lvl>
    <w:lvl w:ilvl="8" w:tentative="1">
      <w:start w:val="1"/>
      <w:numFmt w:val="bullet"/>
      <w:lvlText w:val=""/>
      <w:lvlJc w:val="left"/>
      <w:pPr>
        <w:tabs>
          <w:tab w:val="num" w:pos="6480"/>
        </w:tabs>
        <w:ind w:left="6120" w:hanging="360"/>
      </w:pPr>
      <w:rPr>
        <w:rFonts w:ascii="Wingdings" w:hAnsi="Wingdings" w:hint="default"/>
        <w:sz w:val="20"/>
      </w:rPr>
    </w:lvl>
  </w:abstractNum>
  <w:abstractNum w:abstractNumId="1" w15:restartNumberingAfterBreak="0">
    <w:nsid w:val="05583E66"/>
    <w:multiLevelType w:val="multilevel"/>
    <w:tmpl w:val="0FC41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55688F"/>
    <w:multiLevelType w:val="multilevel"/>
    <w:tmpl w:val="FA145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AF0DA1"/>
    <w:multiLevelType w:val="multilevel"/>
    <w:tmpl w:val="2C783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BB72CC"/>
    <w:multiLevelType w:val="multilevel"/>
    <w:tmpl w:val="9FA64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015EE1"/>
    <w:multiLevelType w:val="multilevel"/>
    <w:tmpl w:val="5A5CE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50386E"/>
    <w:multiLevelType w:val="multilevel"/>
    <w:tmpl w:val="3170F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5A7CAC"/>
    <w:multiLevelType w:val="multilevel"/>
    <w:tmpl w:val="56D00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94B5397"/>
    <w:multiLevelType w:val="multilevel"/>
    <w:tmpl w:val="432C6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79317F"/>
    <w:multiLevelType w:val="multilevel"/>
    <w:tmpl w:val="30EE6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05A2385"/>
    <w:multiLevelType w:val="multilevel"/>
    <w:tmpl w:val="C6C6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786FA1"/>
    <w:multiLevelType w:val="multilevel"/>
    <w:tmpl w:val="90544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D01824"/>
    <w:multiLevelType w:val="multilevel"/>
    <w:tmpl w:val="BF325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8426F0"/>
    <w:multiLevelType w:val="multilevel"/>
    <w:tmpl w:val="F9A02FA0"/>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o"/>
      <w:lvlJc w:val="left"/>
      <w:pPr>
        <w:tabs>
          <w:tab w:val="num" w:pos="1440"/>
        </w:tabs>
        <w:ind w:left="1080" w:hanging="360"/>
      </w:pPr>
      <w:rPr>
        <w:rFonts w:ascii="Courier New" w:hAnsi="Courier New" w:hint="default"/>
        <w:sz w:val="20"/>
      </w:rPr>
    </w:lvl>
    <w:lvl w:ilvl="2" w:tentative="1">
      <w:start w:val="1"/>
      <w:numFmt w:val="bullet"/>
      <w:lvlText w:val=""/>
      <w:lvlJc w:val="left"/>
      <w:pPr>
        <w:tabs>
          <w:tab w:val="num" w:pos="2160"/>
        </w:tabs>
        <w:ind w:left="1800" w:hanging="360"/>
      </w:pPr>
      <w:rPr>
        <w:rFonts w:ascii="Wingdings" w:hAnsi="Wingdings" w:hint="default"/>
        <w:sz w:val="20"/>
      </w:rPr>
    </w:lvl>
    <w:lvl w:ilvl="3" w:tentative="1">
      <w:start w:val="1"/>
      <w:numFmt w:val="bullet"/>
      <w:lvlText w:val=""/>
      <w:lvlJc w:val="left"/>
      <w:pPr>
        <w:tabs>
          <w:tab w:val="num" w:pos="2880"/>
        </w:tabs>
        <w:ind w:left="2520" w:hanging="360"/>
      </w:pPr>
      <w:rPr>
        <w:rFonts w:ascii="Wingdings" w:hAnsi="Wingdings" w:hint="default"/>
        <w:sz w:val="20"/>
      </w:rPr>
    </w:lvl>
    <w:lvl w:ilvl="4" w:tentative="1">
      <w:start w:val="1"/>
      <w:numFmt w:val="bullet"/>
      <w:lvlText w:val=""/>
      <w:lvlJc w:val="left"/>
      <w:pPr>
        <w:tabs>
          <w:tab w:val="num" w:pos="3600"/>
        </w:tabs>
        <w:ind w:left="3240" w:hanging="360"/>
      </w:pPr>
      <w:rPr>
        <w:rFonts w:ascii="Wingdings" w:hAnsi="Wingdings" w:hint="default"/>
        <w:sz w:val="20"/>
      </w:rPr>
    </w:lvl>
    <w:lvl w:ilvl="5" w:tentative="1">
      <w:start w:val="1"/>
      <w:numFmt w:val="bullet"/>
      <w:lvlText w:val=""/>
      <w:lvlJc w:val="left"/>
      <w:pPr>
        <w:tabs>
          <w:tab w:val="num" w:pos="4320"/>
        </w:tabs>
        <w:ind w:left="3960" w:hanging="360"/>
      </w:pPr>
      <w:rPr>
        <w:rFonts w:ascii="Wingdings" w:hAnsi="Wingdings" w:hint="default"/>
        <w:sz w:val="20"/>
      </w:rPr>
    </w:lvl>
    <w:lvl w:ilvl="6" w:tentative="1">
      <w:start w:val="1"/>
      <w:numFmt w:val="bullet"/>
      <w:lvlText w:val=""/>
      <w:lvlJc w:val="left"/>
      <w:pPr>
        <w:tabs>
          <w:tab w:val="num" w:pos="5040"/>
        </w:tabs>
        <w:ind w:left="4680" w:hanging="360"/>
      </w:pPr>
      <w:rPr>
        <w:rFonts w:ascii="Wingdings" w:hAnsi="Wingdings" w:hint="default"/>
        <w:sz w:val="20"/>
      </w:rPr>
    </w:lvl>
    <w:lvl w:ilvl="7" w:tentative="1">
      <w:start w:val="1"/>
      <w:numFmt w:val="bullet"/>
      <w:lvlText w:val=""/>
      <w:lvlJc w:val="left"/>
      <w:pPr>
        <w:tabs>
          <w:tab w:val="num" w:pos="5760"/>
        </w:tabs>
        <w:ind w:left="5400" w:hanging="360"/>
      </w:pPr>
      <w:rPr>
        <w:rFonts w:ascii="Wingdings" w:hAnsi="Wingdings" w:hint="default"/>
        <w:sz w:val="20"/>
      </w:rPr>
    </w:lvl>
    <w:lvl w:ilvl="8" w:tentative="1">
      <w:start w:val="1"/>
      <w:numFmt w:val="bullet"/>
      <w:lvlText w:val=""/>
      <w:lvlJc w:val="left"/>
      <w:pPr>
        <w:tabs>
          <w:tab w:val="num" w:pos="6480"/>
        </w:tabs>
        <w:ind w:left="6120" w:hanging="360"/>
      </w:pPr>
      <w:rPr>
        <w:rFonts w:ascii="Wingdings" w:hAnsi="Wingdings" w:hint="default"/>
        <w:sz w:val="20"/>
      </w:rPr>
    </w:lvl>
  </w:abstractNum>
  <w:abstractNum w:abstractNumId="14" w15:restartNumberingAfterBreak="0">
    <w:nsid w:val="3B667CD5"/>
    <w:multiLevelType w:val="multilevel"/>
    <w:tmpl w:val="AEC68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E201DB3"/>
    <w:multiLevelType w:val="multilevel"/>
    <w:tmpl w:val="04D23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78B585E"/>
    <w:multiLevelType w:val="multilevel"/>
    <w:tmpl w:val="93C6B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8536041"/>
    <w:multiLevelType w:val="multilevel"/>
    <w:tmpl w:val="E5AA4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BBB6051"/>
    <w:multiLevelType w:val="multilevel"/>
    <w:tmpl w:val="ACAE2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F4D5C8E"/>
    <w:multiLevelType w:val="multilevel"/>
    <w:tmpl w:val="E8CA34F2"/>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o"/>
      <w:lvlJc w:val="left"/>
      <w:pPr>
        <w:tabs>
          <w:tab w:val="num" w:pos="1440"/>
        </w:tabs>
        <w:ind w:left="1080" w:hanging="360"/>
      </w:pPr>
      <w:rPr>
        <w:rFonts w:ascii="Courier New" w:hAnsi="Courier New" w:hint="default"/>
        <w:sz w:val="20"/>
      </w:rPr>
    </w:lvl>
    <w:lvl w:ilvl="2" w:tentative="1">
      <w:start w:val="1"/>
      <w:numFmt w:val="bullet"/>
      <w:lvlText w:val=""/>
      <w:lvlJc w:val="left"/>
      <w:pPr>
        <w:tabs>
          <w:tab w:val="num" w:pos="2160"/>
        </w:tabs>
        <w:ind w:left="1800" w:hanging="360"/>
      </w:pPr>
      <w:rPr>
        <w:rFonts w:ascii="Wingdings" w:hAnsi="Wingdings" w:hint="default"/>
        <w:sz w:val="20"/>
      </w:rPr>
    </w:lvl>
    <w:lvl w:ilvl="3" w:tentative="1">
      <w:start w:val="1"/>
      <w:numFmt w:val="bullet"/>
      <w:lvlText w:val=""/>
      <w:lvlJc w:val="left"/>
      <w:pPr>
        <w:tabs>
          <w:tab w:val="num" w:pos="2880"/>
        </w:tabs>
        <w:ind w:left="2520" w:hanging="360"/>
      </w:pPr>
      <w:rPr>
        <w:rFonts w:ascii="Wingdings" w:hAnsi="Wingdings" w:hint="default"/>
        <w:sz w:val="20"/>
      </w:rPr>
    </w:lvl>
    <w:lvl w:ilvl="4" w:tentative="1">
      <w:start w:val="1"/>
      <w:numFmt w:val="bullet"/>
      <w:lvlText w:val=""/>
      <w:lvlJc w:val="left"/>
      <w:pPr>
        <w:tabs>
          <w:tab w:val="num" w:pos="3600"/>
        </w:tabs>
        <w:ind w:left="3240" w:hanging="360"/>
      </w:pPr>
      <w:rPr>
        <w:rFonts w:ascii="Wingdings" w:hAnsi="Wingdings" w:hint="default"/>
        <w:sz w:val="20"/>
      </w:rPr>
    </w:lvl>
    <w:lvl w:ilvl="5" w:tentative="1">
      <w:start w:val="1"/>
      <w:numFmt w:val="bullet"/>
      <w:lvlText w:val=""/>
      <w:lvlJc w:val="left"/>
      <w:pPr>
        <w:tabs>
          <w:tab w:val="num" w:pos="4320"/>
        </w:tabs>
        <w:ind w:left="3960" w:hanging="360"/>
      </w:pPr>
      <w:rPr>
        <w:rFonts w:ascii="Wingdings" w:hAnsi="Wingdings" w:hint="default"/>
        <w:sz w:val="20"/>
      </w:rPr>
    </w:lvl>
    <w:lvl w:ilvl="6" w:tentative="1">
      <w:start w:val="1"/>
      <w:numFmt w:val="bullet"/>
      <w:lvlText w:val=""/>
      <w:lvlJc w:val="left"/>
      <w:pPr>
        <w:tabs>
          <w:tab w:val="num" w:pos="5040"/>
        </w:tabs>
        <w:ind w:left="4680" w:hanging="360"/>
      </w:pPr>
      <w:rPr>
        <w:rFonts w:ascii="Wingdings" w:hAnsi="Wingdings" w:hint="default"/>
        <w:sz w:val="20"/>
      </w:rPr>
    </w:lvl>
    <w:lvl w:ilvl="7" w:tentative="1">
      <w:start w:val="1"/>
      <w:numFmt w:val="bullet"/>
      <w:lvlText w:val=""/>
      <w:lvlJc w:val="left"/>
      <w:pPr>
        <w:tabs>
          <w:tab w:val="num" w:pos="5760"/>
        </w:tabs>
        <w:ind w:left="5400" w:hanging="360"/>
      </w:pPr>
      <w:rPr>
        <w:rFonts w:ascii="Wingdings" w:hAnsi="Wingdings" w:hint="default"/>
        <w:sz w:val="20"/>
      </w:rPr>
    </w:lvl>
    <w:lvl w:ilvl="8" w:tentative="1">
      <w:start w:val="1"/>
      <w:numFmt w:val="bullet"/>
      <w:lvlText w:val=""/>
      <w:lvlJc w:val="left"/>
      <w:pPr>
        <w:tabs>
          <w:tab w:val="num" w:pos="6480"/>
        </w:tabs>
        <w:ind w:left="6120" w:hanging="360"/>
      </w:pPr>
      <w:rPr>
        <w:rFonts w:ascii="Wingdings" w:hAnsi="Wingdings" w:hint="default"/>
        <w:sz w:val="20"/>
      </w:rPr>
    </w:lvl>
  </w:abstractNum>
  <w:abstractNum w:abstractNumId="20" w15:restartNumberingAfterBreak="0">
    <w:nsid w:val="6A3655E2"/>
    <w:multiLevelType w:val="multilevel"/>
    <w:tmpl w:val="04D4A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E2977D6"/>
    <w:multiLevelType w:val="multilevel"/>
    <w:tmpl w:val="28327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E6029F4"/>
    <w:multiLevelType w:val="multilevel"/>
    <w:tmpl w:val="744AD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E6E3EBE"/>
    <w:multiLevelType w:val="multilevel"/>
    <w:tmpl w:val="86D87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FCA5D81"/>
    <w:multiLevelType w:val="multilevel"/>
    <w:tmpl w:val="C0646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2AC0C11"/>
    <w:multiLevelType w:val="multilevel"/>
    <w:tmpl w:val="164EF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83963880">
    <w:abstractNumId w:val="12"/>
  </w:num>
  <w:num w:numId="2" w16cid:durableId="1618826641">
    <w:abstractNumId w:val="1"/>
  </w:num>
  <w:num w:numId="3" w16cid:durableId="672226348">
    <w:abstractNumId w:val="18"/>
  </w:num>
  <w:num w:numId="4" w16cid:durableId="231358930">
    <w:abstractNumId w:val="25"/>
  </w:num>
  <w:num w:numId="5" w16cid:durableId="1432814932">
    <w:abstractNumId w:val="3"/>
  </w:num>
  <w:num w:numId="6" w16cid:durableId="658575253">
    <w:abstractNumId w:val="8"/>
  </w:num>
  <w:num w:numId="7" w16cid:durableId="1540631531">
    <w:abstractNumId w:val="24"/>
  </w:num>
  <w:num w:numId="8" w16cid:durableId="1886790436">
    <w:abstractNumId w:val="23"/>
  </w:num>
  <w:num w:numId="9" w16cid:durableId="1556816447">
    <w:abstractNumId w:val="22"/>
  </w:num>
  <w:num w:numId="10" w16cid:durableId="361788781">
    <w:abstractNumId w:val="21"/>
  </w:num>
  <w:num w:numId="11" w16cid:durableId="1233395690">
    <w:abstractNumId w:val="9"/>
  </w:num>
  <w:num w:numId="12" w16cid:durableId="382676453">
    <w:abstractNumId w:val="2"/>
  </w:num>
  <w:num w:numId="13" w16cid:durableId="427309079">
    <w:abstractNumId w:val="15"/>
  </w:num>
  <w:num w:numId="14" w16cid:durableId="1932618084">
    <w:abstractNumId w:val="16"/>
  </w:num>
  <w:num w:numId="15" w16cid:durableId="86538481">
    <w:abstractNumId w:val="14"/>
  </w:num>
  <w:num w:numId="16" w16cid:durableId="1545826653">
    <w:abstractNumId w:val="4"/>
  </w:num>
  <w:num w:numId="17" w16cid:durableId="1873686904">
    <w:abstractNumId w:val="6"/>
  </w:num>
  <w:num w:numId="18" w16cid:durableId="1963491105">
    <w:abstractNumId w:val="20"/>
  </w:num>
  <w:num w:numId="19" w16cid:durableId="395903740">
    <w:abstractNumId w:val="5"/>
  </w:num>
  <w:num w:numId="20" w16cid:durableId="1935285293">
    <w:abstractNumId w:val="11"/>
  </w:num>
  <w:num w:numId="21" w16cid:durableId="95829527">
    <w:abstractNumId w:val="7"/>
  </w:num>
  <w:num w:numId="22" w16cid:durableId="992686543">
    <w:abstractNumId w:val="17"/>
  </w:num>
  <w:num w:numId="23" w16cid:durableId="2087417055">
    <w:abstractNumId w:val="10"/>
  </w:num>
  <w:num w:numId="24" w16cid:durableId="1106922652">
    <w:abstractNumId w:val="13"/>
  </w:num>
  <w:num w:numId="25" w16cid:durableId="676344310">
    <w:abstractNumId w:val="0"/>
  </w:num>
  <w:num w:numId="26" w16cid:durableId="14094954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44C77B"/>
    <w:rsid w:val="00023D42"/>
    <w:rsid w:val="000573B7"/>
    <w:rsid w:val="00061FE7"/>
    <w:rsid w:val="00073FDE"/>
    <w:rsid w:val="0009213B"/>
    <w:rsid w:val="000B2FA2"/>
    <w:rsid w:val="000B3FD1"/>
    <w:rsid w:val="000C6E63"/>
    <w:rsid w:val="000CCBD2"/>
    <w:rsid w:val="00102EA3"/>
    <w:rsid w:val="001048B4"/>
    <w:rsid w:val="00125008"/>
    <w:rsid w:val="00131C46"/>
    <w:rsid w:val="00152361"/>
    <w:rsid w:val="00156A83"/>
    <w:rsid w:val="0016266C"/>
    <w:rsid w:val="00167B2F"/>
    <w:rsid w:val="001704E9"/>
    <w:rsid w:val="0017508C"/>
    <w:rsid w:val="00196238"/>
    <w:rsid w:val="001B49BB"/>
    <w:rsid w:val="001B620D"/>
    <w:rsid w:val="001C36AB"/>
    <w:rsid w:val="001D7E15"/>
    <w:rsid w:val="001E663A"/>
    <w:rsid w:val="001F0A40"/>
    <w:rsid w:val="00217602"/>
    <w:rsid w:val="00217C13"/>
    <w:rsid w:val="00253D25"/>
    <w:rsid w:val="00255632"/>
    <w:rsid w:val="0025685C"/>
    <w:rsid w:val="00264029"/>
    <w:rsid w:val="00282CE9"/>
    <w:rsid w:val="002B39D2"/>
    <w:rsid w:val="002C4B8B"/>
    <w:rsid w:val="002D168C"/>
    <w:rsid w:val="00350F91"/>
    <w:rsid w:val="00353C1B"/>
    <w:rsid w:val="003717E9"/>
    <w:rsid w:val="003732BC"/>
    <w:rsid w:val="00390260"/>
    <w:rsid w:val="003A00E6"/>
    <w:rsid w:val="003B3719"/>
    <w:rsid w:val="003C4436"/>
    <w:rsid w:val="003D410A"/>
    <w:rsid w:val="003E33F1"/>
    <w:rsid w:val="003F3061"/>
    <w:rsid w:val="00417294"/>
    <w:rsid w:val="004713A6"/>
    <w:rsid w:val="00474D8C"/>
    <w:rsid w:val="00497EF9"/>
    <w:rsid w:val="004E1A01"/>
    <w:rsid w:val="004E5B8A"/>
    <w:rsid w:val="004F1F3C"/>
    <w:rsid w:val="00511E62"/>
    <w:rsid w:val="005365BF"/>
    <w:rsid w:val="00545633"/>
    <w:rsid w:val="00554E3D"/>
    <w:rsid w:val="00560BFC"/>
    <w:rsid w:val="00586019"/>
    <w:rsid w:val="005A7675"/>
    <w:rsid w:val="005A7F28"/>
    <w:rsid w:val="005B338F"/>
    <w:rsid w:val="005C7C5B"/>
    <w:rsid w:val="00617CC0"/>
    <w:rsid w:val="00624864"/>
    <w:rsid w:val="00632252"/>
    <w:rsid w:val="00650C3B"/>
    <w:rsid w:val="00657552"/>
    <w:rsid w:val="00674CED"/>
    <w:rsid w:val="0068125D"/>
    <w:rsid w:val="006855E2"/>
    <w:rsid w:val="006901DE"/>
    <w:rsid w:val="006B231E"/>
    <w:rsid w:val="006D08A9"/>
    <w:rsid w:val="006D6C0E"/>
    <w:rsid w:val="006E060B"/>
    <w:rsid w:val="006F11CE"/>
    <w:rsid w:val="0070580A"/>
    <w:rsid w:val="007202B9"/>
    <w:rsid w:val="00777588"/>
    <w:rsid w:val="00777DEF"/>
    <w:rsid w:val="00781DB6"/>
    <w:rsid w:val="0079001F"/>
    <w:rsid w:val="00790099"/>
    <w:rsid w:val="007A77EC"/>
    <w:rsid w:val="007B2A98"/>
    <w:rsid w:val="007D0D36"/>
    <w:rsid w:val="007D399D"/>
    <w:rsid w:val="0080492E"/>
    <w:rsid w:val="00806615"/>
    <w:rsid w:val="00806A48"/>
    <w:rsid w:val="00827F69"/>
    <w:rsid w:val="0083781F"/>
    <w:rsid w:val="00846A27"/>
    <w:rsid w:val="00894240"/>
    <w:rsid w:val="008C2009"/>
    <w:rsid w:val="0092799A"/>
    <w:rsid w:val="00933956"/>
    <w:rsid w:val="00940795"/>
    <w:rsid w:val="00952847"/>
    <w:rsid w:val="00963F7C"/>
    <w:rsid w:val="0098469F"/>
    <w:rsid w:val="009A5BD2"/>
    <w:rsid w:val="009B4893"/>
    <w:rsid w:val="009E3850"/>
    <w:rsid w:val="00A023D2"/>
    <w:rsid w:val="00A21C6C"/>
    <w:rsid w:val="00AA33B1"/>
    <w:rsid w:val="00AB0752"/>
    <w:rsid w:val="00AB0774"/>
    <w:rsid w:val="00AE62B4"/>
    <w:rsid w:val="00AF2E1D"/>
    <w:rsid w:val="00B13972"/>
    <w:rsid w:val="00B1445C"/>
    <w:rsid w:val="00B408B6"/>
    <w:rsid w:val="00B5399C"/>
    <w:rsid w:val="00B53B4C"/>
    <w:rsid w:val="00B636A7"/>
    <w:rsid w:val="00B65DE5"/>
    <w:rsid w:val="00BC7FCE"/>
    <w:rsid w:val="00BD0B5D"/>
    <w:rsid w:val="00BD7D83"/>
    <w:rsid w:val="00BE3EC8"/>
    <w:rsid w:val="00C102C4"/>
    <w:rsid w:val="00C22CD7"/>
    <w:rsid w:val="00C376B3"/>
    <w:rsid w:val="00C63F55"/>
    <w:rsid w:val="00C70A9C"/>
    <w:rsid w:val="00C94C0D"/>
    <w:rsid w:val="00CA3E2B"/>
    <w:rsid w:val="00CB03E9"/>
    <w:rsid w:val="00CD0503"/>
    <w:rsid w:val="00D26719"/>
    <w:rsid w:val="00D64A1E"/>
    <w:rsid w:val="00D83488"/>
    <w:rsid w:val="00D83AB2"/>
    <w:rsid w:val="00DA7594"/>
    <w:rsid w:val="00DD4FE2"/>
    <w:rsid w:val="00DE5196"/>
    <w:rsid w:val="00E05CD7"/>
    <w:rsid w:val="00E27E22"/>
    <w:rsid w:val="00E51D68"/>
    <w:rsid w:val="00E521DE"/>
    <w:rsid w:val="00E5758F"/>
    <w:rsid w:val="00E71073"/>
    <w:rsid w:val="00EC2731"/>
    <w:rsid w:val="00ED6F18"/>
    <w:rsid w:val="00EE1B8D"/>
    <w:rsid w:val="00EE34BC"/>
    <w:rsid w:val="00F368A2"/>
    <w:rsid w:val="00F665FD"/>
    <w:rsid w:val="00F84740"/>
    <w:rsid w:val="00F940BE"/>
    <w:rsid w:val="00FC0572"/>
    <w:rsid w:val="00FC65BD"/>
    <w:rsid w:val="00FD61E5"/>
    <w:rsid w:val="00FE2DC7"/>
    <w:rsid w:val="00FF2684"/>
    <w:rsid w:val="00FF4036"/>
    <w:rsid w:val="02943020"/>
    <w:rsid w:val="059B99B9"/>
    <w:rsid w:val="07D97FA2"/>
    <w:rsid w:val="0AB58B7E"/>
    <w:rsid w:val="0D64A925"/>
    <w:rsid w:val="0EEA11D6"/>
    <w:rsid w:val="0FB5ECD8"/>
    <w:rsid w:val="10BFB0E5"/>
    <w:rsid w:val="12B2192E"/>
    <w:rsid w:val="155D2221"/>
    <w:rsid w:val="16199341"/>
    <w:rsid w:val="16FB8962"/>
    <w:rsid w:val="1B483597"/>
    <w:rsid w:val="1DF14C4B"/>
    <w:rsid w:val="20F25201"/>
    <w:rsid w:val="218BD6D7"/>
    <w:rsid w:val="23302729"/>
    <w:rsid w:val="2481CFF1"/>
    <w:rsid w:val="26DE0036"/>
    <w:rsid w:val="27ABAAE1"/>
    <w:rsid w:val="29EAF1F1"/>
    <w:rsid w:val="2A2D710D"/>
    <w:rsid w:val="2A5A1C08"/>
    <w:rsid w:val="2FCB32A7"/>
    <w:rsid w:val="32211C7A"/>
    <w:rsid w:val="35E80DEA"/>
    <w:rsid w:val="363A408E"/>
    <w:rsid w:val="367E7DFD"/>
    <w:rsid w:val="36E2D800"/>
    <w:rsid w:val="377677C2"/>
    <w:rsid w:val="37E4A960"/>
    <w:rsid w:val="3B2ED4C3"/>
    <w:rsid w:val="3C3A1FB5"/>
    <w:rsid w:val="3C826B5A"/>
    <w:rsid w:val="3DD19F8A"/>
    <w:rsid w:val="403DD1C9"/>
    <w:rsid w:val="40ADBED8"/>
    <w:rsid w:val="425AA836"/>
    <w:rsid w:val="42882D2E"/>
    <w:rsid w:val="429AFCB7"/>
    <w:rsid w:val="443F7CE7"/>
    <w:rsid w:val="45DC03B0"/>
    <w:rsid w:val="46098438"/>
    <w:rsid w:val="48845168"/>
    <w:rsid w:val="48D09720"/>
    <w:rsid w:val="49C81E5E"/>
    <w:rsid w:val="4BA96085"/>
    <w:rsid w:val="4C497640"/>
    <w:rsid w:val="5144C77B"/>
    <w:rsid w:val="51726E36"/>
    <w:rsid w:val="51E2A655"/>
    <w:rsid w:val="53F0F583"/>
    <w:rsid w:val="54AE1ECF"/>
    <w:rsid w:val="55AE5704"/>
    <w:rsid w:val="55EEDFDD"/>
    <w:rsid w:val="59293C1F"/>
    <w:rsid w:val="59EBA968"/>
    <w:rsid w:val="5A0AD292"/>
    <w:rsid w:val="5A84CF48"/>
    <w:rsid w:val="5B8CA329"/>
    <w:rsid w:val="5BC71066"/>
    <w:rsid w:val="5F0E1837"/>
    <w:rsid w:val="61392D41"/>
    <w:rsid w:val="64A2FC87"/>
    <w:rsid w:val="65C4675F"/>
    <w:rsid w:val="660F2423"/>
    <w:rsid w:val="6745D534"/>
    <w:rsid w:val="69FE5484"/>
    <w:rsid w:val="6AF9F80E"/>
    <w:rsid w:val="6C2E68B1"/>
    <w:rsid w:val="6CE7DB48"/>
    <w:rsid w:val="6E32FC5A"/>
    <w:rsid w:val="6E5E4B51"/>
    <w:rsid w:val="70B586E0"/>
    <w:rsid w:val="731D74E5"/>
    <w:rsid w:val="73E80FE9"/>
    <w:rsid w:val="74719F7D"/>
    <w:rsid w:val="7641DB57"/>
    <w:rsid w:val="764CE7B9"/>
    <w:rsid w:val="7A08B7CF"/>
    <w:rsid w:val="7E9F8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FA3B7"/>
  <w15:docId w15:val="{5965FCD2-FB5D-4738-AC39-4D3AC397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US" w:bidi="ar-SA"/>
      </w:rPr>
    </w:rPrDefault>
    <w:pPrDefault>
      <w:pPr>
        <w:widowControl w:val="0"/>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line="240" w:lineRule="auto"/>
      <w:outlineLvl w:val="0"/>
    </w:pPr>
    <w:rPr>
      <w:b/>
      <w:color w:val="000000"/>
      <w:sz w:val="32"/>
      <w:szCs w:val="32"/>
    </w:rPr>
  </w:style>
  <w:style w:type="paragraph" w:styleId="Heading2">
    <w:name w:val="heading 2"/>
    <w:basedOn w:val="Normal"/>
    <w:next w:val="Normal"/>
    <w:uiPriority w:val="9"/>
    <w:unhideWhenUsed/>
    <w:qFormat/>
    <w:pPr>
      <w:pBdr>
        <w:top w:val="nil"/>
        <w:left w:val="nil"/>
        <w:bottom w:val="nil"/>
        <w:right w:val="nil"/>
        <w:between w:val="nil"/>
      </w:pBdr>
      <w:spacing w:line="240" w:lineRule="auto"/>
      <w:outlineLvl w:val="1"/>
    </w:pPr>
    <w:rPr>
      <w:b/>
      <w:color w:val="000000"/>
      <w:sz w:val="28"/>
      <w:szCs w:val="28"/>
    </w:rPr>
  </w:style>
  <w:style w:type="paragraph" w:styleId="Heading3">
    <w:name w:val="heading 3"/>
    <w:basedOn w:val="Normal"/>
    <w:next w:val="Normal"/>
    <w:uiPriority w:val="9"/>
    <w:unhideWhenUsed/>
    <w:qFormat/>
    <w:pPr>
      <w:spacing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line="240" w:lineRule="auto"/>
    </w:pPr>
    <w:rPr>
      <w:b/>
      <w:color w:val="000000"/>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pPr>
      <w:widowControl/>
      <w:spacing w:after="0" w:line="240" w:lineRule="auto"/>
    </w:pPr>
    <w:rPr>
      <w:rFonts w:ascii="Cambria" w:eastAsia="Cambria" w:hAnsi="Cambria" w:cs="Cambria"/>
      <w:sz w:val="22"/>
      <w:szCs w:val="22"/>
    </w:rPr>
    <w:tblPr/>
  </w:style>
  <w:style w:type="table" w:customStyle="1" w:styleId="6">
    <w:name w:val="6"/>
    <w:basedOn w:val="TableNormal"/>
    <w:pPr>
      <w:widowControl/>
      <w:spacing w:after="0" w:line="240" w:lineRule="auto"/>
    </w:pPr>
    <w:rPr>
      <w:rFonts w:ascii="Cambria" w:eastAsia="Cambria" w:hAnsi="Cambria" w:cs="Cambria"/>
      <w:sz w:val="22"/>
      <w:szCs w:val="22"/>
    </w:rPr>
    <w:tblPr/>
  </w:style>
  <w:style w:type="table" w:customStyle="1" w:styleId="5">
    <w:name w:val="5"/>
    <w:basedOn w:val="TableNormal"/>
    <w:pPr>
      <w:widowControl/>
      <w:spacing w:after="0" w:line="240" w:lineRule="auto"/>
    </w:pPr>
    <w:rPr>
      <w:rFonts w:ascii="Cambria" w:eastAsia="Cambria" w:hAnsi="Cambria" w:cs="Cambria"/>
      <w:sz w:val="22"/>
      <w:szCs w:val="22"/>
    </w:rPr>
    <w:tblPr/>
  </w:style>
  <w:style w:type="table" w:customStyle="1" w:styleId="4">
    <w:name w:val="4"/>
    <w:basedOn w:val="TableNormal"/>
    <w:pPr>
      <w:widowControl/>
      <w:spacing w:after="0" w:line="240" w:lineRule="auto"/>
    </w:pPr>
    <w:rPr>
      <w:rFonts w:ascii="Cambria" w:eastAsia="Cambria" w:hAnsi="Cambria" w:cs="Cambria"/>
      <w:sz w:val="22"/>
      <w:szCs w:val="22"/>
    </w:rPr>
    <w:tblPr/>
  </w:style>
  <w:style w:type="table" w:customStyle="1" w:styleId="3">
    <w:name w:val="3"/>
    <w:basedOn w:val="TableNormal"/>
    <w:pPr>
      <w:widowControl/>
      <w:spacing w:after="0" w:line="240" w:lineRule="auto"/>
    </w:pPr>
    <w:rPr>
      <w:rFonts w:ascii="Cambria" w:eastAsia="Cambria" w:hAnsi="Cambria" w:cs="Cambria"/>
      <w:sz w:val="22"/>
      <w:szCs w:val="22"/>
    </w:rPr>
    <w:tblPr/>
  </w:style>
  <w:style w:type="table" w:customStyle="1" w:styleId="2">
    <w:name w:val="2"/>
    <w:basedOn w:val="TableNormal"/>
    <w:pPr>
      <w:widowControl/>
      <w:spacing w:after="0" w:line="240" w:lineRule="auto"/>
    </w:pPr>
    <w:rPr>
      <w:rFonts w:ascii="Cambria" w:eastAsia="Cambria" w:hAnsi="Cambria" w:cs="Cambria"/>
      <w:sz w:val="22"/>
      <w:szCs w:val="22"/>
    </w:rPr>
    <w:tblPr/>
  </w:style>
  <w:style w:type="table" w:customStyle="1" w:styleId="1">
    <w:name w:val="1"/>
    <w:basedOn w:val="TableNormal"/>
    <w:pPr>
      <w:widowControl/>
      <w:spacing w:after="0" w:line="240" w:lineRule="auto"/>
    </w:pPr>
    <w:rPr>
      <w:rFonts w:ascii="Cambria" w:eastAsia="Cambria" w:hAnsi="Cambria" w:cs="Cambria"/>
      <w:sz w:val="22"/>
      <w:szCs w:val="22"/>
    </w:rPr>
    <w:tblPr/>
  </w:style>
  <w:style w:type="paragraph" w:styleId="Header">
    <w:name w:val="header"/>
    <w:basedOn w:val="Normal"/>
    <w:link w:val="HeaderChar"/>
    <w:uiPriority w:val="99"/>
    <w:unhideWhenUsed/>
    <w:rsid w:val="005A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F28"/>
  </w:style>
  <w:style w:type="paragraph" w:styleId="Footer">
    <w:name w:val="footer"/>
    <w:basedOn w:val="Normal"/>
    <w:link w:val="FooterChar"/>
    <w:uiPriority w:val="99"/>
    <w:unhideWhenUsed/>
    <w:rsid w:val="005A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F28"/>
  </w:style>
  <w:style w:type="character" w:styleId="CommentReference">
    <w:name w:val="annotation reference"/>
    <w:basedOn w:val="DefaultParagraphFont"/>
    <w:uiPriority w:val="99"/>
    <w:semiHidden/>
    <w:unhideWhenUsed/>
    <w:rsid w:val="00624864"/>
    <w:rPr>
      <w:sz w:val="16"/>
      <w:szCs w:val="16"/>
    </w:rPr>
  </w:style>
  <w:style w:type="paragraph" w:styleId="CommentText">
    <w:name w:val="annotation text"/>
    <w:basedOn w:val="Normal"/>
    <w:link w:val="CommentTextChar"/>
    <w:uiPriority w:val="99"/>
    <w:unhideWhenUsed/>
    <w:rsid w:val="00624864"/>
    <w:pPr>
      <w:spacing w:line="240" w:lineRule="auto"/>
    </w:pPr>
    <w:rPr>
      <w:sz w:val="20"/>
      <w:szCs w:val="20"/>
    </w:rPr>
  </w:style>
  <w:style w:type="character" w:customStyle="1" w:styleId="CommentTextChar">
    <w:name w:val="Comment Text Char"/>
    <w:basedOn w:val="DefaultParagraphFont"/>
    <w:link w:val="CommentText"/>
    <w:uiPriority w:val="99"/>
    <w:rsid w:val="00624864"/>
    <w:rPr>
      <w:sz w:val="20"/>
      <w:szCs w:val="20"/>
    </w:rPr>
  </w:style>
  <w:style w:type="paragraph" w:styleId="CommentSubject">
    <w:name w:val="annotation subject"/>
    <w:basedOn w:val="CommentText"/>
    <w:next w:val="CommentText"/>
    <w:link w:val="CommentSubjectChar"/>
    <w:uiPriority w:val="99"/>
    <w:semiHidden/>
    <w:unhideWhenUsed/>
    <w:rsid w:val="00624864"/>
    <w:rPr>
      <w:b/>
      <w:bCs/>
    </w:rPr>
  </w:style>
  <w:style w:type="character" w:customStyle="1" w:styleId="CommentSubjectChar">
    <w:name w:val="Comment Subject Char"/>
    <w:basedOn w:val="CommentTextChar"/>
    <w:link w:val="CommentSubject"/>
    <w:uiPriority w:val="99"/>
    <w:semiHidden/>
    <w:rsid w:val="00624864"/>
    <w:rPr>
      <w:b/>
      <w:bCs/>
      <w:sz w:val="20"/>
      <w:szCs w:val="20"/>
    </w:rPr>
  </w:style>
  <w:style w:type="character" w:styleId="Hyperlink">
    <w:name w:val="Hyperlink"/>
    <w:basedOn w:val="DefaultParagraphFont"/>
    <w:uiPriority w:val="99"/>
    <w:unhideWhenUsed/>
    <w:rsid w:val="55AE5704"/>
    <w:rPr>
      <w:color w:val="0000FF"/>
      <w:u w:val="single"/>
    </w:rPr>
  </w:style>
  <w:style w:type="table" w:styleId="TableGrid">
    <w:name w:val="Table Grid"/>
    <w:basedOn w:val="TableNormal"/>
    <w:uiPriority w:val="59"/>
    <w:rsid w:val="00FB4123"/>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983356">
      <w:bodyDiv w:val="1"/>
      <w:marLeft w:val="0"/>
      <w:marRight w:val="0"/>
      <w:marTop w:val="0"/>
      <w:marBottom w:val="0"/>
      <w:divBdr>
        <w:top w:val="none" w:sz="0" w:space="0" w:color="auto"/>
        <w:left w:val="none" w:sz="0" w:space="0" w:color="auto"/>
        <w:bottom w:val="none" w:sz="0" w:space="0" w:color="auto"/>
        <w:right w:val="none" w:sz="0" w:space="0" w:color="auto"/>
      </w:divBdr>
      <w:divsChild>
        <w:div w:id="1718704803">
          <w:marLeft w:val="0"/>
          <w:marRight w:val="0"/>
          <w:marTop w:val="0"/>
          <w:marBottom w:val="0"/>
          <w:divBdr>
            <w:top w:val="none" w:sz="0" w:space="0" w:color="auto"/>
            <w:left w:val="none" w:sz="0" w:space="0" w:color="auto"/>
            <w:bottom w:val="none" w:sz="0" w:space="0" w:color="auto"/>
            <w:right w:val="none" w:sz="0" w:space="0" w:color="auto"/>
          </w:divBdr>
          <w:divsChild>
            <w:div w:id="62800046">
              <w:marLeft w:val="0"/>
              <w:marRight w:val="0"/>
              <w:marTop w:val="0"/>
              <w:marBottom w:val="0"/>
              <w:divBdr>
                <w:top w:val="none" w:sz="0" w:space="0" w:color="auto"/>
                <w:left w:val="none" w:sz="0" w:space="0" w:color="auto"/>
                <w:bottom w:val="none" w:sz="0" w:space="0" w:color="auto"/>
                <w:right w:val="none" w:sz="0" w:space="0" w:color="auto"/>
              </w:divBdr>
              <w:divsChild>
                <w:div w:id="1623149823">
                  <w:marLeft w:val="0"/>
                  <w:marRight w:val="0"/>
                  <w:marTop w:val="0"/>
                  <w:marBottom w:val="0"/>
                  <w:divBdr>
                    <w:top w:val="none" w:sz="0" w:space="0" w:color="auto"/>
                    <w:left w:val="none" w:sz="0" w:space="0" w:color="auto"/>
                    <w:bottom w:val="none" w:sz="0" w:space="0" w:color="auto"/>
                    <w:right w:val="none" w:sz="0" w:space="0" w:color="auto"/>
                  </w:divBdr>
                  <w:divsChild>
                    <w:div w:id="395974840">
                      <w:marLeft w:val="0"/>
                      <w:marRight w:val="0"/>
                      <w:marTop w:val="0"/>
                      <w:marBottom w:val="0"/>
                      <w:divBdr>
                        <w:top w:val="none" w:sz="0" w:space="0" w:color="auto"/>
                        <w:left w:val="none" w:sz="0" w:space="0" w:color="auto"/>
                        <w:bottom w:val="none" w:sz="0" w:space="0" w:color="auto"/>
                        <w:right w:val="none" w:sz="0" w:space="0" w:color="auto"/>
                      </w:divBdr>
                      <w:divsChild>
                        <w:div w:id="1267928339">
                          <w:marLeft w:val="0"/>
                          <w:marRight w:val="0"/>
                          <w:marTop w:val="0"/>
                          <w:marBottom w:val="0"/>
                          <w:divBdr>
                            <w:top w:val="none" w:sz="0" w:space="0" w:color="auto"/>
                            <w:left w:val="none" w:sz="0" w:space="0" w:color="auto"/>
                            <w:bottom w:val="none" w:sz="0" w:space="0" w:color="auto"/>
                            <w:right w:val="none" w:sz="0" w:space="0" w:color="auto"/>
                          </w:divBdr>
                          <w:divsChild>
                            <w:div w:id="1491750739">
                              <w:marLeft w:val="0"/>
                              <w:marRight w:val="0"/>
                              <w:marTop w:val="0"/>
                              <w:marBottom w:val="0"/>
                              <w:divBdr>
                                <w:top w:val="single" w:sz="8" w:space="0" w:color="auto"/>
                                <w:left w:val="single" w:sz="8" w:space="0" w:color="auto"/>
                                <w:bottom w:val="single" w:sz="8" w:space="0" w:color="auto"/>
                                <w:right w:val="single" w:sz="8" w:space="0" w:color="auto"/>
                              </w:divBdr>
                              <w:divsChild>
                                <w:div w:id="1784113950">
                                  <w:marLeft w:val="0"/>
                                  <w:marRight w:val="0"/>
                                  <w:marTop w:val="0"/>
                                  <w:marBottom w:val="0"/>
                                  <w:divBdr>
                                    <w:top w:val="none" w:sz="0" w:space="0" w:color="auto"/>
                                    <w:left w:val="none" w:sz="0" w:space="0" w:color="auto"/>
                                    <w:bottom w:val="none" w:sz="0" w:space="0" w:color="auto"/>
                                    <w:right w:val="none" w:sz="0" w:space="0" w:color="auto"/>
                                  </w:divBdr>
                                  <w:divsChild>
                                    <w:div w:id="616184045">
                                      <w:marLeft w:val="0"/>
                                      <w:marRight w:val="0"/>
                                      <w:marTop w:val="0"/>
                                      <w:marBottom w:val="0"/>
                                      <w:divBdr>
                                        <w:top w:val="none" w:sz="0" w:space="0" w:color="auto"/>
                                        <w:left w:val="none" w:sz="0" w:space="0" w:color="auto"/>
                                        <w:bottom w:val="none" w:sz="0" w:space="0" w:color="auto"/>
                                        <w:right w:val="none" w:sz="0" w:space="0" w:color="auto"/>
                                      </w:divBdr>
                                      <w:divsChild>
                                        <w:div w:id="1929073267">
                                          <w:marLeft w:val="0"/>
                                          <w:marRight w:val="0"/>
                                          <w:marTop w:val="0"/>
                                          <w:marBottom w:val="0"/>
                                          <w:divBdr>
                                            <w:top w:val="none" w:sz="0" w:space="0" w:color="auto"/>
                                            <w:left w:val="none" w:sz="0" w:space="0" w:color="auto"/>
                                            <w:bottom w:val="none" w:sz="0" w:space="0" w:color="auto"/>
                                            <w:right w:val="none" w:sz="0" w:space="0" w:color="auto"/>
                                          </w:divBdr>
                                          <w:divsChild>
                                            <w:div w:id="1707757163">
                                              <w:marLeft w:val="0"/>
                                              <w:marRight w:val="0"/>
                                              <w:marTop w:val="0"/>
                                              <w:marBottom w:val="0"/>
                                              <w:divBdr>
                                                <w:top w:val="none" w:sz="0" w:space="0" w:color="auto"/>
                                                <w:left w:val="none" w:sz="0" w:space="0" w:color="auto"/>
                                                <w:bottom w:val="none" w:sz="0" w:space="0" w:color="auto"/>
                                                <w:right w:val="none" w:sz="0" w:space="0" w:color="auto"/>
                                              </w:divBdr>
                                              <w:divsChild>
                                                <w:div w:id="1110586181">
                                                  <w:marLeft w:val="0"/>
                                                  <w:marRight w:val="0"/>
                                                  <w:marTop w:val="0"/>
                                                  <w:marBottom w:val="0"/>
                                                  <w:divBdr>
                                                    <w:top w:val="none" w:sz="0" w:space="0" w:color="auto"/>
                                                    <w:left w:val="none" w:sz="0" w:space="0" w:color="auto"/>
                                                    <w:bottom w:val="none" w:sz="0" w:space="0" w:color="auto"/>
                                                    <w:right w:val="none" w:sz="0" w:space="0" w:color="auto"/>
                                                  </w:divBdr>
                                                  <w:divsChild>
                                                    <w:div w:id="979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6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52125">
                                  <w:marLeft w:val="0"/>
                                  <w:marRight w:val="0"/>
                                  <w:marTop w:val="0"/>
                                  <w:marBottom w:val="0"/>
                                  <w:divBdr>
                                    <w:top w:val="none" w:sz="0" w:space="0" w:color="auto"/>
                                    <w:left w:val="none" w:sz="0" w:space="0" w:color="auto"/>
                                    <w:bottom w:val="none" w:sz="0" w:space="0" w:color="auto"/>
                                    <w:right w:val="none" w:sz="0" w:space="0" w:color="auto"/>
                                  </w:divBdr>
                                  <w:divsChild>
                                    <w:div w:id="662391636">
                                      <w:marLeft w:val="0"/>
                                      <w:marRight w:val="0"/>
                                      <w:marTop w:val="0"/>
                                      <w:marBottom w:val="0"/>
                                      <w:divBdr>
                                        <w:top w:val="none" w:sz="0" w:space="0" w:color="auto"/>
                                        <w:left w:val="none" w:sz="0" w:space="0" w:color="auto"/>
                                        <w:bottom w:val="none" w:sz="0" w:space="0" w:color="auto"/>
                                        <w:right w:val="none" w:sz="0" w:space="0" w:color="auto"/>
                                      </w:divBdr>
                                      <w:divsChild>
                                        <w:div w:id="1346594137">
                                          <w:marLeft w:val="0"/>
                                          <w:marRight w:val="0"/>
                                          <w:marTop w:val="0"/>
                                          <w:marBottom w:val="0"/>
                                          <w:divBdr>
                                            <w:top w:val="none" w:sz="0" w:space="0" w:color="auto"/>
                                            <w:left w:val="none" w:sz="0" w:space="0" w:color="auto"/>
                                            <w:bottom w:val="none" w:sz="0" w:space="0" w:color="auto"/>
                                            <w:right w:val="none" w:sz="0" w:space="0" w:color="auto"/>
                                          </w:divBdr>
                                          <w:divsChild>
                                            <w:div w:id="413278919">
                                              <w:marLeft w:val="0"/>
                                              <w:marRight w:val="0"/>
                                              <w:marTop w:val="0"/>
                                              <w:marBottom w:val="0"/>
                                              <w:divBdr>
                                                <w:top w:val="none" w:sz="0" w:space="0" w:color="auto"/>
                                                <w:left w:val="none" w:sz="0" w:space="0" w:color="auto"/>
                                                <w:bottom w:val="none" w:sz="0" w:space="0" w:color="auto"/>
                                                <w:right w:val="none" w:sz="0" w:space="0" w:color="auto"/>
                                              </w:divBdr>
                                            </w:div>
                                            <w:div w:id="2074115905">
                                              <w:marLeft w:val="0"/>
                                              <w:marRight w:val="0"/>
                                              <w:marTop w:val="0"/>
                                              <w:marBottom w:val="0"/>
                                              <w:divBdr>
                                                <w:top w:val="none" w:sz="0" w:space="0" w:color="auto"/>
                                                <w:left w:val="none" w:sz="0" w:space="0" w:color="auto"/>
                                                <w:bottom w:val="none" w:sz="0" w:space="0" w:color="auto"/>
                                                <w:right w:val="none" w:sz="0" w:space="0" w:color="auto"/>
                                              </w:divBdr>
                                              <w:divsChild>
                                                <w:div w:id="1064180434">
                                                  <w:marLeft w:val="0"/>
                                                  <w:marRight w:val="0"/>
                                                  <w:marTop w:val="0"/>
                                                  <w:marBottom w:val="0"/>
                                                  <w:divBdr>
                                                    <w:top w:val="none" w:sz="0" w:space="0" w:color="auto"/>
                                                    <w:left w:val="none" w:sz="0" w:space="0" w:color="auto"/>
                                                    <w:bottom w:val="none" w:sz="0" w:space="0" w:color="auto"/>
                                                    <w:right w:val="none" w:sz="0" w:space="0" w:color="auto"/>
                                                  </w:divBdr>
                                                  <w:divsChild>
                                                    <w:div w:id="18907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7318508">
      <w:bodyDiv w:val="1"/>
      <w:marLeft w:val="0"/>
      <w:marRight w:val="0"/>
      <w:marTop w:val="0"/>
      <w:marBottom w:val="0"/>
      <w:divBdr>
        <w:top w:val="none" w:sz="0" w:space="0" w:color="auto"/>
        <w:left w:val="none" w:sz="0" w:space="0" w:color="auto"/>
        <w:bottom w:val="none" w:sz="0" w:space="0" w:color="auto"/>
        <w:right w:val="none" w:sz="0" w:space="0" w:color="auto"/>
      </w:divBdr>
    </w:div>
    <w:div w:id="1133870086">
      <w:bodyDiv w:val="1"/>
      <w:marLeft w:val="0"/>
      <w:marRight w:val="0"/>
      <w:marTop w:val="0"/>
      <w:marBottom w:val="0"/>
      <w:divBdr>
        <w:top w:val="none" w:sz="0" w:space="0" w:color="auto"/>
        <w:left w:val="none" w:sz="0" w:space="0" w:color="auto"/>
        <w:bottom w:val="none" w:sz="0" w:space="0" w:color="auto"/>
        <w:right w:val="none" w:sz="0" w:space="0" w:color="auto"/>
      </w:divBdr>
    </w:div>
    <w:div w:id="1764839852">
      <w:bodyDiv w:val="1"/>
      <w:marLeft w:val="0"/>
      <w:marRight w:val="0"/>
      <w:marTop w:val="0"/>
      <w:marBottom w:val="0"/>
      <w:divBdr>
        <w:top w:val="none" w:sz="0" w:space="0" w:color="auto"/>
        <w:left w:val="none" w:sz="0" w:space="0" w:color="auto"/>
        <w:bottom w:val="none" w:sz="0" w:space="0" w:color="auto"/>
        <w:right w:val="none" w:sz="0" w:space="0" w:color="auto"/>
      </w:divBdr>
      <w:divsChild>
        <w:div w:id="1196195234">
          <w:marLeft w:val="0"/>
          <w:marRight w:val="0"/>
          <w:marTop w:val="0"/>
          <w:marBottom w:val="0"/>
          <w:divBdr>
            <w:top w:val="none" w:sz="0" w:space="0" w:color="auto"/>
            <w:left w:val="none" w:sz="0" w:space="0" w:color="auto"/>
            <w:bottom w:val="none" w:sz="0" w:space="0" w:color="auto"/>
            <w:right w:val="none" w:sz="0" w:space="0" w:color="auto"/>
          </w:divBdr>
          <w:divsChild>
            <w:div w:id="412895629">
              <w:marLeft w:val="0"/>
              <w:marRight w:val="0"/>
              <w:marTop w:val="0"/>
              <w:marBottom w:val="0"/>
              <w:divBdr>
                <w:top w:val="none" w:sz="0" w:space="0" w:color="auto"/>
                <w:left w:val="none" w:sz="0" w:space="0" w:color="auto"/>
                <w:bottom w:val="none" w:sz="0" w:space="0" w:color="auto"/>
                <w:right w:val="none" w:sz="0" w:space="0" w:color="auto"/>
              </w:divBdr>
              <w:divsChild>
                <w:div w:id="561403957">
                  <w:marLeft w:val="0"/>
                  <w:marRight w:val="0"/>
                  <w:marTop w:val="0"/>
                  <w:marBottom w:val="0"/>
                  <w:divBdr>
                    <w:top w:val="none" w:sz="0" w:space="0" w:color="auto"/>
                    <w:left w:val="none" w:sz="0" w:space="0" w:color="auto"/>
                    <w:bottom w:val="none" w:sz="0" w:space="0" w:color="auto"/>
                    <w:right w:val="none" w:sz="0" w:space="0" w:color="auto"/>
                  </w:divBdr>
                  <w:divsChild>
                    <w:div w:id="2063482638">
                      <w:marLeft w:val="0"/>
                      <w:marRight w:val="0"/>
                      <w:marTop w:val="0"/>
                      <w:marBottom w:val="0"/>
                      <w:divBdr>
                        <w:top w:val="none" w:sz="0" w:space="0" w:color="auto"/>
                        <w:left w:val="none" w:sz="0" w:space="0" w:color="auto"/>
                        <w:bottom w:val="none" w:sz="0" w:space="0" w:color="auto"/>
                        <w:right w:val="none" w:sz="0" w:space="0" w:color="auto"/>
                      </w:divBdr>
                      <w:divsChild>
                        <w:div w:id="1895578344">
                          <w:marLeft w:val="0"/>
                          <w:marRight w:val="0"/>
                          <w:marTop w:val="0"/>
                          <w:marBottom w:val="0"/>
                          <w:divBdr>
                            <w:top w:val="none" w:sz="0" w:space="0" w:color="auto"/>
                            <w:left w:val="none" w:sz="0" w:space="0" w:color="auto"/>
                            <w:bottom w:val="none" w:sz="0" w:space="0" w:color="auto"/>
                            <w:right w:val="none" w:sz="0" w:space="0" w:color="auto"/>
                          </w:divBdr>
                          <w:divsChild>
                            <w:div w:id="1444378231">
                              <w:marLeft w:val="0"/>
                              <w:marRight w:val="0"/>
                              <w:marTop w:val="0"/>
                              <w:marBottom w:val="0"/>
                              <w:divBdr>
                                <w:top w:val="single" w:sz="8" w:space="0" w:color="auto"/>
                                <w:left w:val="single" w:sz="8" w:space="0" w:color="auto"/>
                                <w:bottom w:val="single" w:sz="8" w:space="0" w:color="auto"/>
                                <w:right w:val="single" w:sz="8" w:space="0" w:color="auto"/>
                              </w:divBdr>
                              <w:divsChild>
                                <w:div w:id="98374219">
                                  <w:marLeft w:val="0"/>
                                  <w:marRight w:val="0"/>
                                  <w:marTop w:val="0"/>
                                  <w:marBottom w:val="0"/>
                                  <w:divBdr>
                                    <w:top w:val="none" w:sz="0" w:space="0" w:color="auto"/>
                                    <w:left w:val="none" w:sz="0" w:space="0" w:color="auto"/>
                                    <w:bottom w:val="none" w:sz="0" w:space="0" w:color="auto"/>
                                    <w:right w:val="none" w:sz="0" w:space="0" w:color="auto"/>
                                  </w:divBdr>
                                  <w:divsChild>
                                    <w:div w:id="1819763252">
                                      <w:marLeft w:val="0"/>
                                      <w:marRight w:val="0"/>
                                      <w:marTop w:val="0"/>
                                      <w:marBottom w:val="0"/>
                                      <w:divBdr>
                                        <w:top w:val="none" w:sz="0" w:space="0" w:color="auto"/>
                                        <w:left w:val="none" w:sz="0" w:space="0" w:color="auto"/>
                                        <w:bottom w:val="none" w:sz="0" w:space="0" w:color="auto"/>
                                        <w:right w:val="none" w:sz="0" w:space="0" w:color="auto"/>
                                      </w:divBdr>
                                      <w:divsChild>
                                        <w:div w:id="676885915">
                                          <w:marLeft w:val="0"/>
                                          <w:marRight w:val="0"/>
                                          <w:marTop w:val="0"/>
                                          <w:marBottom w:val="0"/>
                                          <w:divBdr>
                                            <w:top w:val="none" w:sz="0" w:space="0" w:color="auto"/>
                                            <w:left w:val="none" w:sz="0" w:space="0" w:color="auto"/>
                                            <w:bottom w:val="none" w:sz="0" w:space="0" w:color="auto"/>
                                            <w:right w:val="none" w:sz="0" w:space="0" w:color="auto"/>
                                          </w:divBdr>
                                          <w:divsChild>
                                            <w:div w:id="198471766">
                                              <w:marLeft w:val="0"/>
                                              <w:marRight w:val="0"/>
                                              <w:marTop w:val="0"/>
                                              <w:marBottom w:val="0"/>
                                              <w:divBdr>
                                                <w:top w:val="none" w:sz="0" w:space="0" w:color="auto"/>
                                                <w:left w:val="none" w:sz="0" w:space="0" w:color="auto"/>
                                                <w:bottom w:val="none" w:sz="0" w:space="0" w:color="auto"/>
                                                <w:right w:val="none" w:sz="0" w:space="0" w:color="auto"/>
                                              </w:divBdr>
                                              <w:divsChild>
                                                <w:div w:id="396704362">
                                                  <w:marLeft w:val="0"/>
                                                  <w:marRight w:val="0"/>
                                                  <w:marTop w:val="0"/>
                                                  <w:marBottom w:val="0"/>
                                                  <w:divBdr>
                                                    <w:top w:val="none" w:sz="0" w:space="0" w:color="auto"/>
                                                    <w:left w:val="none" w:sz="0" w:space="0" w:color="auto"/>
                                                    <w:bottom w:val="none" w:sz="0" w:space="0" w:color="auto"/>
                                                    <w:right w:val="none" w:sz="0" w:space="0" w:color="auto"/>
                                                  </w:divBdr>
                                                  <w:divsChild>
                                                    <w:div w:id="25213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6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0077">
                                  <w:marLeft w:val="0"/>
                                  <w:marRight w:val="0"/>
                                  <w:marTop w:val="0"/>
                                  <w:marBottom w:val="0"/>
                                  <w:divBdr>
                                    <w:top w:val="none" w:sz="0" w:space="0" w:color="auto"/>
                                    <w:left w:val="none" w:sz="0" w:space="0" w:color="auto"/>
                                    <w:bottom w:val="none" w:sz="0" w:space="0" w:color="auto"/>
                                    <w:right w:val="none" w:sz="0" w:space="0" w:color="auto"/>
                                  </w:divBdr>
                                  <w:divsChild>
                                    <w:div w:id="1791626167">
                                      <w:marLeft w:val="0"/>
                                      <w:marRight w:val="0"/>
                                      <w:marTop w:val="0"/>
                                      <w:marBottom w:val="0"/>
                                      <w:divBdr>
                                        <w:top w:val="none" w:sz="0" w:space="0" w:color="auto"/>
                                        <w:left w:val="none" w:sz="0" w:space="0" w:color="auto"/>
                                        <w:bottom w:val="none" w:sz="0" w:space="0" w:color="auto"/>
                                        <w:right w:val="none" w:sz="0" w:space="0" w:color="auto"/>
                                      </w:divBdr>
                                      <w:divsChild>
                                        <w:div w:id="1836065083">
                                          <w:marLeft w:val="0"/>
                                          <w:marRight w:val="0"/>
                                          <w:marTop w:val="0"/>
                                          <w:marBottom w:val="0"/>
                                          <w:divBdr>
                                            <w:top w:val="none" w:sz="0" w:space="0" w:color="auto"/>
                                            <w:left w:val="none" w:sz="0" w:space="0" w:color="auto"/>
                                            <w:bottom w:val="none" w:sz="0" w:space="0" w:color="auto"/>
                                            <w:right w:val="none" w:sz="0" w:space="0" w:color="auto"/>
                                          </w:divBdr>
                                          <w:divsChild>
                                            <w:div w:id="571894788">
                                              <w:marLeft w:val="0"/>
                                              <w:marRight w:val="0"/>
                                              <w:marTop w:val="0"/>
                                              <w:marBottom w:val="0"/>
                                              <w:divBdr>
                                                <w:top w:val="none" w:sz="0" w:space="0" w:color="auto"/>
                                                <w:left w:val="none" w:sz="0" w:space="0" w:color="auto"/>
                                                <w:bottom w:val="none" w:sz="0" w:space="0" w:color="auto"/>
                                                <w:right w:val="none" w:sz="0" w:space="0" w:color="auto"/>
                                              </w:divBdr>
                                            </w:div>
                                            <w:div w:id="1211769072">
                                              <w:marLeft w:val="0"/>
                                              <w:marRight w:val="0"/>
                                              <w:marTop w:val="0"/>
                                              <w:marBottom w:val="0"/>
                                              <w:divBdr>
                                                <w:top w:val="none" w:sz="0" w:space="0" w:color="auto"/>
                                                <w:left w:val="none" w:sz="0" w:space="0" w:color="auto"/>
                                                <w:bottom w:val="none" w:sz="0" w:space="0" w:color="auto"/>
                                                <w:right w:val="none" w:sz="0" w:space="0" w:color="auto"/>
                                              </w:divBdr>
                                              <w:divsChild>
                                                <w:div w:id="928197303">
                                                  <w:marLeft w:val="0"/>
                                                  <w:marRight w:val="0"/>
                                                  <w:marTop w:val="0"/>
                                                  <w:marBottom w:val="0"/>
                                                  <w:divBdr>
                                                    <w:top w:val="none" w:sz="0" w:space="0" w:color="auto"/>
                                                    <w:left w:val="none" w:sz="0" w:space="0" w:color="auto"/>
                                                    <w:bottom w:val="none" w:sz="0" w:space="0" w:color="auto"/>
                                                    <w:right w:val="none" w:sz="0" w:space="0" w:color="auto"/>
                                                  </w:divBdr>
                                                  <w:divsChild>
                                                    <w:div w:id="7281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blearn.londonmet.ac.uk/ultra/organizations/_53464_1/outlin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te@londonmet.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bblearn.londonmet.ac.uk/ultra/organizations/_53464_1/outlin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blearn.londonmet.ac.uk/ultra/organizations/_53464_1/outlin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a999834090ab440760231b491172c55a">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178f0625bfb9aa1db5f7dd9f7447a11d"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69b51-f8c1-43c8-a495-c2c0d4602cbd}"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4B246-8ECC-40FB-8505-C6C38CC144EE}">
  <ds:schemaRefs>
    <ds:schemaRef ds:uri="http://schemas.microsoft.com/sharepoint/v3/contenttype/forms"/>
  </ds:schemaRefs>
</ds:datastoreItem>
</file>

<file path=customXml/itemProps2.xml><?xml version="1.0" encoding="utf-8"?>
<ds:datastoreItem xmlns:ds="http://schemas.openxmlformats.org/officeDocument/2006/customXml" ds:itemID="{BF3F3725-09C1-488A-AF21-02CA1F168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558D3-A232-45DC-A529-6229FE1C20DD}">
  <ds:schemaRefs>
    <ds:schemaRef ds:uri="http://schemas.microsoft.com/office/2006/metadata/properties"/>
    <ds:schemaRef ds:uri="http://schemas.microsoft.com/office/infopath/2007/PartnerControls"/>
    <ds:schemaRef ds:uri="6c84a01b-aede-4370-8fa9-b7a959cab531"/>
    <ds:schemaRef ds:uri="c19d9144-cbe3-4b5d-a710-46ada0e8ff40"/>
    <ds:schemaRef ds:uri="http://schemas.microsoft.com/sharepoint/v3"/>
  </ds:schemaRefs>
</ds:datastoreItem>
</file>

<file path=customXml/itemProps4.xml><?xml version="1.0" encoding="utf-8"?>
<ds:datastoreItem xmlns:ds="http://schemas.openxmlformats.org/officeDocument/2006/customXml" ds:itemID="{562585BA-A7C1-4707-B0D9-8B8E3F7A7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860</Words>
  <Characters>5382</Characters>
  <Application>Microsoft Office Word</Application>
  <DocSecurity>0</DocSecurity>
  <Lines>173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Links>
    <vt:vector size="24" baseType="variant">
      <vt:variant>
        <vt:i4>3407942</vt:i4>
      </vt:variant>
      <vt:variant>
        <vt:i4>9</vt:i4>
      </vt:variant>
      <vt:variant>
        <vt:i4>0</vt:i4>
      </vt:variant>
      <vt:variant>
        <vt:i4>5</vt:i4>
      </vt:variant>
      <vt:variant>
        <vt:lpwstr>mailto:cte@londonmet.ac.uk</vt:lpwstr>
      </vt:variant>
      <vt:variant>
        <vt:lpwstr/>
      </vt:variant>
      <vt:variant>
        <vt:i4>4980824</vt:i4>
      </vt:variant>
      <vt:variant>
        <vt:i4>6</vt:i4>
      </vt:variant>
      <vt:variant>
        <vt:i4>0</vt:i4>
      </vt:variant>
      <vt:variant>
        <vt:i4>5</vt:i4>
      </vt:variant>
      <vt:variant>
        <vt:lpwstr>https://bblearn.londonmet.ac.uk/ultra/organizations/_53464_1/outline</vt:lpwstr>
      </vt:variant>
      <vt:variant>
        <vt:lpwstr/>
      </vt:variant>
      <vt:variant>
        <vt:i4>4980824</vt:i4>
      </vt:variant>
      <vt:variant>
        <vt:i4>3</vt:i4>
      </vt:variant>
      <vt:variant>
        <vt:i4>0</vt:i4>
      </vt:variant>
      <vt:variant>
        <vt:i4>5</vt:i4>
      </vt:variant>
      <vt:variant>
        <vt:lpwstr>https://bblearn.londonmet.ac.uk/ultra/organizations/_53464_1/outline</vt:lpwstr>
      </vt:variant>
      <vt:variant>
        <vt:lpwstr/>
      </vt:variant>
      <vt:variant>
        <vt:i4>4980824</vt:i4>
      </vt:variant>
      <vt:variant>
        <vt:i4>0</vt:i4>
      </vt:variant>
      <vt:variant>
        <vt:i4>0</vt:i4>
      </vt:variant>
      <vt:variant>
        <vt:i4>5</vt:i4>
      </vt:variant>
      <vt:variant>
        <vt:lpwstr>https://bblearn.londonmet.ac.uk/ultra/organizations/_53464_1/outline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 Rusu</dc:creator>
  <cp:keywords/>
  <cp:lastModifiedBy>Helen Spruce</cp:lastModifiedBy>
  <cp:revision>2</cp:revision>
  <dcterms:created xsi:type="dcterms:W3CDTF">2025-11-06T12:04:00Z</dcterms:created>
  <dcterms:modified xsi:type="dcterms:W3CDTF">2025-11-06T12:04:00Z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