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7A248" w14:textId="77777777" w:rsidR="006A1030" w:rsidRPr="00F95CBA" w:rsidRDefault="006A1030" w:rsidP="006A1030">
      <w:pPr>
        <w:spacing w:before="100" w:beforeAutospacing="1" w:after="100" w:afterAutospacing="1" w:line="300" w:lineRule="auto"/>
        <w:jc w:val="center"/>
        <w:rPr>
          <w:rFonts w:ascii="Segoe UI" w:eastAsia="Segoe UI" w:hAnsi="Segoe UI" w:cs="Segoe UI"/>
          <w:b/>
          <w:bCs/>
          <w:sz w:val="32"/>
          <w:szCs w:val="32"/>
        </w:rPr>
      </w:pPr>
      <w:r w:rsidRPr="00F95CBA">
        <w:rPr>
          <w:rFonts w:ascii="Segoe UI" w:eastAsia="Segoe UI" w:hAnsi="Segoe UI" w:cs="Segoe UI"/>
          <w:b/>
          <w:bCs/>
          <w:sz w:val="32"/>
          <w:szCs w:val="32"/>
        </w:rPr>
        <w:t>London Metropolitan University: Subcontracting Information Source for Collaborative Partners</w:t>
      </w:r>
    </w:p>
    <w:p w14:paraId="2C1991C7" w14:textId="77777777" w:rsidR="006A1030" w:rsidRDefault="006A1030" w:rsidP="006A1030">
      <w:pPr>
        <w:spacing w:before="100" w:beforeAutospacing="1" w:after="100" w:afterAutospacing="1" w:line="300" w:lineRule="auto"/>
        <w:rPr>
          <w:rFonts w:ascii="Segoe UI" w:eastAsia="Segoe UI" w:hAnsi="Segoe UI" w:cs="Segoe UI"/>
          <w:sz w:val="22"/>
          <w:szCs w:val="22"/>
        </w:rPr>
      </w:pPr>
    </w:p>
    <w:p w14:paraId="6BFA4F3D" w14:textId="77777777" w:rsidR="006A1030" w:rsidRDefault="006A1030" w:rsidP="006A1030">
      <w:pPr>
        <w:spacing w:before="100" w:beforeAutospacing="1" w:after="100" w:afterAutospacing="1" w:line="300" w:lineRule="auto"/>
        <w:rPr>
          <w:rFonts w:ascii="Segoe UI" w:eastAsia="Segoe UI" w:hAnsi="Segoe UI" w:cs="Segoe UI"/>
          <w:sz w:val="22"/>
          <w:szCs w:val="22"/>
        </w:rPr>
      </w:pPr>
    </w:p>
    <w:p w14:paraId="7CBED017" w14:textId="77777777" w:rsidR="006A1030" w:rsidRPr="00F95CBA" w:rsidRDefault="006A1030" w:rsidP="006A1030">
      <w:pPr>
        <w:pStyle w:val="Heading2"/>
        <w:spacing w:before="100" w:beforeAutospacing="1" w:after="100" w:afterAutospacing="1"/>
        <w:rPr>
          <w:rFonts w:eastAsia="Segoe UI"/>
          <w:b/>
          <w:bCs/>
          <w:sz w:val="22"/>
          <w:szCs w:val="22"/>
        </w:rPr>
      </w:pPr>
      <w:bookmarkStart w:id="0" w:name="_Toc227336131"/>
      <w:r w:rsidRPr="18D3A709">
        <w:rPr>
          <w:rFonts w:ascii="Segoe UI" w:eastAsia="Segoe UI" w:hAnsi="Segoe UI" w:cs="Segoe UI"/>
          <w:b/>
          <w:bCs/>
        </w:rPr>
        <w:t>Introduction</w:t>
      </w:r>
      <w:bookmarkEnd w:id="0"/>
    </w:p>
    <w:p w14:paraId="3F420927" w14:textId="77777777" w:rsidR="006A1030" w:rsidRPr="00CC2391" w:rsidRDefault="006A1030" w:rsidP="006A1030">
      <w:pPr>
        <w:spacing w:before="100" w:beforeAutospacing="1" w:after="100" w:afterAutospacing="1" w:line="300" w:lineRule="auto"/>
        <w:rPr>
          <w:rFonts w:ascii="Segoe UI" w:eastAsia="Segoe UI" w:hAnsi="Segoe UI" w:cs="Segoe UI"/>
          <w:color w:val="464FEB"/>
          <w:sz w:val="22"/>
          <w:szCs w:val="22"/>
        </w:rPr>
      </w:pPr>
      <w:r w:rsidRPr="00CC2391">
        <w:rPr>
          <w:rFonts w:ascii="Segoe UI" w:eastAsia="Segoe UI" w:hAnsi="Segoe UI" w:cs="Segoe UI"/>
          <w:sz w:val="22"/>
          <w:szCs w:val="22"/>
        </w:rPr>
        <w:t xml:space="preserve">London Met operates a comprehensive framework for subcontracted higher education. Oversight is embedded in our governance, quality, and operational procedures as set out in our </w:t>
      </w:r>
      <w:hyperlink r:id="rId7">
        <w:r w:rsidRPr="00CC2391">
          <w:rPr>
            <w:rStyle w:val="Hyperlink"/>
            <w:rFonts w:ascii="Segoe UI" w:eastAsia="Segoe UI" w:hAnsi="Segoe UI" w:cs="Segoe UI"/>
            <w:b/>
            <w:bCs/>
            <w:color w:val="464FEB"/>
            <w:sz w:val="22"/>
            <w:szCs w:val="22"/>
            <w:u w:val="none"/>
          </w:rPr>
          <w:t>Collaborative Partnerships Operational Manual 2025‑26 (POM)</w:t>
        </w:r>
      </w:hyperlink>
      <w:r w:rsidRPr="00CC2391">
        <w:rPr>
          <w:rFonts w:ascii="Segoe UI" w:eastAsia="Segoe UI" w:hAnsi="Segoe UI" w:cs="Segoe UI"/>
          <w:sz w:val="22"/>
          <w:szCs w:val="22"/>
        </w:rPr>
        <w:t xml:space="preserve"> and </w:t>
      </w:r>
      <w:hyperlink r:id="rId8">
        <w:r w:rsidRPr="00CC2391">
          <w:rPr>
            <w:rStyle w:val="Hyperlink"/>
            <w:rFonts w:ascii="Segoe UI" w:eastAsia="Segoe UI" w:hAnsi="Segoe UI" w:cs="Segoe UI"/>
            <w:b/>
            <w:bCs/>
            <w:color w:val="464FEB"/>
            <w:sz w:val="22"/>
            <w:szCs w:val="22"/>
            <w:u w:val="none"/>
          </w:rPr>
          <w:t>Collaborative Academic Partnership Lifecycle Process 2025‑26 (PLC)</w:t>
        </w:r>
      </w:hyperlink>
      <w:r w:rsidRPr="00CC2391">
        <w:rPr>
          <w:rFonts w:ascii="Segoe UI" w:eastAsia="Segoe UI" w:hAnsi="Segoe UI" w:cs="Segoe UI"/>
          <w:sz w:val="22"/>
          <w:szCs w:val="22"/>
        </w:rPr>
        <w:t>.</w:t>
      </w:r>
    </w:p>
    <w:p w14:paraId="6365EE50" w14:textId="77777777" w:rsidR="006A1030" w:rsidRDefault="006A1030" w:rsidP="006A1030">
      <w:pPr>
        <w:spacing w:before="100" w:beforeAutospacing="1" w:after="100" w:afterAutospacing="1" w:line="300" w:lineRule="auto"/>
        <w:rPr>
          <w:rFonts w:ascii="Segoe UI" w:eastAsia="Segoe UI" w:hAnsi="Segoe UI" w:cs="Segoe UI"/>
          <w:sz w:val="22"/>
          <w:szCs w:val="22"/>
        </w:rPr>
      </w:pPr>
    </w:p>
    <w:p w14:paraId="58746866" w14:textId="77777777" w:rsidR="006A1030" w:rsidRPr="00CC2391" w:rsidRDefault="006A1030" w:rsidP="006A1030">
      <w:pPr>
        <w:spacing w:before="100" w:beforeAutospacing="1" w:after="100" w:afterAutospacing="1" w:line="300" w:lineRule="auto"/>
        <w:rPr>
          <w:rFonts w:ascii="Segoe UI" w:eastAsia="Segoe UI" w:hAnsi="Segoe UI" w:cs="Segoe UI"/>
          <w:sz w:val="22"/>
          <w:szCs w:val="22"/>
        </w:rPr>
      </w:pPr>
      <w:r w:rsidRPr="00CC2391">
        <w:rPr>
          <w:rFonts w:ascii="Segoe UI" w:eastAsia="Segoe UI" w:hAnsi="Segoe UI" w:cs="Segoe UI"/>
          <w:sz w:val="22"/>
          <w:szCs w:val="22"/>
        </w:rPr>
        <w:t xml:space="preserve">The </w:t>
      </w:r>
      <w:r>
        <w:rPr>
          <w:rFonts w:ascii="Segoe UI" w:eastAsia="Segoe UI" w:hAnsi="Segoe UI" w:cs="Segoe UI"/>
          <w:sz w:val="22"/>
          <w:szCs w:val="22"/>
        </w:rPr>
        <w:t>information below</w:t>
      </w:r>
      <w:r w:rsidRPr="00CC2391">
        <w:rPr>
          <w:rFonts w:ascii="Segoe UI" w:eastAsia="Segoe UI" w:hAnsi="Segoe UI" w:cs="Segoe UI"/>
          <w:sz w:val="22"/>
          <w:szCs w:val="22"/>
        </w:rPr>
        <w:t xml:space="preserve"> provides a clear, requirement‑by‑requirement summary of how our current arrangements meet the E10 expectations, with precise references to the </w:t>
      </w:r>
      <w:r w:rsidRPr="00CC2391">
        <w:rPr>
          <w:rFonts w:ascii="Segoe UI" w:eastAsia="Segoe UI" w:hAnsi="Segoe UI" w:cs="Segoe UI"/>
          <w:b/>
          <w:bCs/>
          <w:sz w:val="22"/>
          <w:szCs w:val="22"/>
        </w:rPr>
        <w:t>POM</w:t>
      </w:r>
      <w:r w:rsidRPr="00CC2391">
        <w:rPr>
          <w:rFonts w:ascii="Segoe UI" w:eastAsia="Segoe UI" w:hAnsi="Segoe UI" w:cs="Segoe UI"/>
          <w:sz w:val="22"/>
          <w:szCs w:val="22"/>
        </w:rPr>
        <w:t xml:space="preserve"> and </w:t>
      </w:r>
      <w:r w:rsidRPr="00CC2391">
        <w:rPr>
          <w:rFonts w:ascii="Segoe UI" w:eastAsia="Segoe UI" w:hAnsi="Segoe UI" w:cs="Segoe UI"/>
          <w:b/>
          <w:bCs/>
          <w:sz w:val="22"/>
          <w:szCs w:val="22"/>
        </w:rPr>
        <w:t>PLC</w:t>
      </w:r>
      <w:r w:rsidRPr="00CC2391">
        <w:rPr>
          <w:rFonts w:ascii="Segoe UI" w:eastAsia="Segoe UI" w:hAnsi="Segoe UI" w:cs="Segoe UI"/>
          <w:sz w:val="22"/>
          <w:szCs w:val="22"/>
        </w:rPr>
        <w:t>. It also confirms practical operation (contracts, capacity/resources, evidence).</w:t>
      </w:r>
    </w:p>
    <w:p w14:paraId="04D5FC22" w14:textId="77777777" w:rsidR="006A1030" w:rsidRDefault="006A1030" w:rsidP="006A1030">
      <w:pPr>
        <w:pStyle w:val="Heading2"/>
        <w:spacing w:before="100" w:beforeAutospacing="1" w:after="100" w:afterAutospacing="1"/>
        <w:rPr>
          <w:rFonts w:ascii="Segoe UI" w:eastAsia="Segoe UI" w:hAnsi="Segoe UI" w:cs="Segoe UI"/>
          <w:b/>
          <w:bCs/>
        </w:rPr>
      </w:pPr>
      <w:r w:rsidRPr="18D3A709">
        <w:rPr>
          <w:rFonts w:eastAsia="Segoe UI"/>
        </w:rPr>
        <w:br w:type="page"/>
      </w:r>
      <w:bookmarkStart w:id="1" w:name="_Toc227336132"/>
      <w:r w:rsidRPr="18D3A709">
        <w:rPr>
          <w:rFonts w:ascii="Segoe UI" w:eastAsia="Segoe UI" w:hAnsi="Segoe UI" w:cs="Segoe UI"/>
          <w:b/>
          <w:bCs/>
        </w:rPr>
        <w:lastRenderedPageBreak/>
        <w:t>Table of Contents</w:t>
      </w:r>
      <w:bookmarkEnd w:id="1"/>
    </w:p>
    <w:sdt>
      <w:sdtPr>
        <w:id w:val="2027143290"/>
        <w:docPartObj>
          <w:docPartGallery w:val="Table of Contents"/>
          <w:docPartUnique/>
        </w:docPartObj>
      </w:sdtPr>
      <w:sdtContent>
        <w:p w14:paraId="2036471F" w14:textId="2F72F162" w:rsidR="006A1030" w:rsidRDefault="006A1030" w:rsidP="006A1030">
          <w:pPr>
            <w:pStyle w:val="TOC2"/>
            <w:tabs>
              <w:tab w:val="right" w:leader="dot" w:pos="9016"/>
            </w:tabs>
            <w:rPr>
              <w:rFonts w:eastAsiaTheme="minorEastAsia"/>
              <w:noProof/>
              <w:lang w:eastAsia="en-GB"/>
            </w:rPr>
          </w:pPr>
          <w:r>
            <w:fldChar w:fldCharType="begin"/>
          </w:r>
          <w:r>
            <w:instrText>TOC \o "1-9" \z \u \h</w:instrText>
          </w:r>
          <w:r>
            <w:fldChar w:fldCharType="separate"/>
          </w:r>
          <w:hyperlink w:anchor="_Toc227336131" w:history="1">
            <w:r w:rsidRPr="00257E4E">
              <w:rPr>
                <w:rStyle w:val="Hyperlink"/>
                <w:rFonts w:ascii="Segoe UI" w:eastAsia="Segoe UI" w:hAnsi="Segoe UI" w:cs="Segoe UI"/>
                <w:b/>
                <w:bCs/>
                <w:noProof/>
              </w:rPr>
              <w:t>Introduction</w:t>
            </w:r>
            <w:r>
              <w:rPr>
                <w:noProof/>
                <w:webHidden/>
              </w:rPr>
              <w:tab/>
            </w:r>
            <w:r>
              <w:rPr>
                <w:noProof/>
                <w:webHidden/>
              </w:rPr>
              <w:fldChar w:fldCharType="begin"/>
            </w:r>
            <w:r>
              <w:rPr>
                <w:noProof/>
                <w:webHidden/>
              </w:rPr>
              <w:instrText xml:space="preserve"> PAGEREF _Toc227336131 \h </w:instrText>
            </w:r>
            <w:r>
              <w:rPr>
                <w:noProof/>
                <w:webHidden/>
              </w:rPr>
            </w:r>
            <w:r>
              <w:rPr>
                <w:noProof/>
                <w:webHidden/>
              </w:rPr>
              <w:fldChar w:fldCharType="separate"/>
            </w:r>
            <w:r>
              <w:rPr>
                <w:noProof/>
                <w:webHidden/>
              </w:rPr>
              <w:t>1</w:t>
            </w:r>
            <w:r>
              <w:rPr>
                <w:noProof/>
                <w:webHidden/>
              </w:rPr>
              <w:fldChar w:fldCharType="end"/>
            </w:r>
          </w:hyperlink>
        </w:p>
        <w:p w14:paraId="5D532E87" w14:textId="7C9DDAAE" w:rsidR="006A1030" w:rsidRDefault="006A1030" w:rsidP="006A1030">
          <w:pPr>
            <w:pStyle w:val="TOC2"/>
            <w:tabs>
              <w:tab w:val="right" w:leader="dot" w:pos="9016"/>
            </w:tabs>
            <w:rPr>
              <w:rFonts w:eastAsiaTheme="minorEastAsia"/>
              <w:noProof/>
              <w:lang w:eastAsia="en-GB"/>
            </w:rPr>
          </w:pPr>
          <w:hyperlink w:anchor="_Toc227336132" w:history="1">
            <w:r w:rsidRPr="00257E4E">
              <w:rPr>
                <w:rStyle w:val="Hyperlink"/>
                <w:rFonts w:ascii="Segoe UI" w:eastAsia="Segoe UI" w:hAnsi="Segoe UI" w:cs="Segoe UI"/>
                <w:b/>
                <w:bCs/>
                <w:noProof/>
              </w:rPr>
              <w:t>Table of Contents</w:t>
            </w:r>
            <w:r>
              <w:rPr>
                <w:noProof/>
                <w:webHidden/>
              </w:rPr>
              <w:tab/>
            </w:r>
            <w:r>
              <w:rPr>
                <w:noProof/>
                <w:webHidden/>
              </w:rPr>
              <w:fldChar w:fldCharType="begin"/>
            </w:r>
            <w:r>
              <w:rPr>
                <w:noProof/>
                <w:webHidden/>
              </w:rPr>
              <w:instrText xml:space="preserve"> PAGEREF _Toc227336132 \h </w:instrText>
            </w:r>
            <w:r>
              <w:rPr>
                <w:noProof/>
                <w:webHidden/>
              </w:rPr>
            </w:r>
            <w:r>
              <w:rPr>
                <w:noProof/>
                <w:webHidden/>
              </w:rPr>
              <w:fldChar w:fldCharType="separate"/>
            </w:r>
            <w:r>
              <w:rPr>
                <w:noProof/>
                <w:webHidden/>
              </w:rPr>
              <w:t>2</w:t>
            </w:r>
            <w:r>
              <w:rPr>
                <w:noProof/>
                <w:webHidden/>
              </w:rPr>
              <w:fldChar w:fldCharType="end"/>
            </w:r>
          </w:hyperlink>
        </w:p>
        <w:p w14:paraId="5B2CC8B5" w14:textId="2A8951EB" w:rsidR="006A1030" w:rsidRDefault="006A1030" w:rsidP="006A1030">
          <w:pPr>
            <w:pStyle w:val="TOC2"/>
            <w:tabs>
              <w:tab w:val="right" w:leader="dot" w:pos="9016"/>
            </w:tabs>
            <w:rPr>
              <w:rFonts w:eastAsiaTheme="minorEastAsia"/>
              <w:noProof/>
              <w:lang w:eastAsia="en-GB"/>
            </w:rPr>
          </w:pPr>
          <w:hyperlink w:anchor="_Toc227336133" w:history="1">
            <w:r w:rsidRPr="00257E4E">
              <w:rPr>
                <w:rStyle w:val="Hyperlink"/>
                <w:rFonts w:ascii="Segoe UI" w:eastAsia="Segoe UI" w:hAnsi="Segoe UI" w:cs="Segoe UI"/>
                <w:b/>
                <w:bCs/>
                <w:noProof/>
              </w:rPr>
              <w:t>1) Statement of compliance and scope</w:t>
            </w:r>
            <w:r>
              <w:rPr>
                <w:noProof/>
                <w:webHidden/>
              </w:rPr>
              <w:tab/>
            </w:r>
            <w:r>
              <w:rPr>
                <w:noProof/>
                <w:webHidden/>
              </w:rPr>
              <w:fldChar w:fldCharType="begin"/>
            </w:r>
            <w:r>
              <w:rPr>
                <w:noProof/>
                <w:webHidden/>
              </w:rPr>
              <w:instrText xml:space="preserve"> PAGEREF _Toc227336133 \h </w:instrText>
            </w:r>
            <w:r>
              <w:rPr>
                <w:noProof/>
                <w:webHidden/>
              </w:rPr>
            </w:r>
            <w:r>
              <w:rPr>
                <w:noProof/>
                <w:webHidden/>
              </w:rPr>
              <w:fldChar w:fldCharType="separate"/>
            </w:r>
            <w:r>
              <w:rPr>
                <w:noProof/>
                <w:webHidden/>
              </w:rPr>
              <w:t>3</w:t>
            </w:r>
            <w:r>
              <w:rPr>
                <w:noProof/>
                <w:webHidden/>
              </w:rPr>
              <w:fldChar w:fldCharType="end"/>
            </w:r>
          </w:hyperlink>
        </w:p>
        <w:p w14:paraId="601CB586" w14:textId="271C3996" w:rsidR="006A1030" w:rsidRDefault="006A1030" w:rsidP="006A1030">
          <w:pPr>
            <w:pStyle w:val="TOC2"/>
            <w:tabs>
              <w:tab w:val="right" w:leader="dot" w:pos="9016"/>
            </w:tabs>
            <w:rPr>
              <w:rFonts w:eastAsiaTheme="minorEastAsia"/>
              <w:noProof/>
              <w:lang w:eastAsia="en-GB"/>
            </w:rPr>
          </w:pPr>
          <w:hyperlink w:anchor="_Toc227336134" w:history="1">
            <w:r w:rsidRPr="00257E4E">
              <w:rPr>
                <w:rStyle w:val="Hyperlink"/>
                <w:rFonts w:ascii="Segoe UI" w:eastAsia="Segoe UI" w:hAnsi="Segoe UI" w:cs="Segoe UI"/>
                <w:b/>
                <w:bCs/>
                <w:noProof/>
              </w:rPr>
              <w:t>2) How we meet the E10 expectations</w:t>
            </w:r>
            <w:r>
              <w:rPr>
                <w:noProof/>
                <w:webHidden/>
              </w:rPr>
              <w:tab/>
            </w:r>
            <w:r>
              <w:rPr>
                <w:noProof/>
                <w:webHidden/>
              </w:rPr>
              <w:fldChar w:fldCharType="begin"/>
            </w:r>
            <w:r>
              <w:rPr>
                <w:noProof/>
                <w:webHidden/>
              </w:rPr>
              <w:instrText xml:space="preserve"> PAGEREF _Toc227336134 \h </w:instrText>
            </w:r>
            <w:r>
              <w:rPr>
                <w:noProof/>
                <w:webHidden/>
              </w:rPr>
            </w:r>
            <w:r>
              <w:rPr>
                <w:noProof/>
                <w:webHidden/>
              </w:rPr>
              <w:fldChar w:fldCharType="separate"/>
            </w:r>
            <w:r>
              <w:rPr>
                <w:noProof/>
                <w:webHidden/>
              </w:rPr>
              <w:t>3</w:t>
            </w:r>
            <w:r>
              <w:rPr>
                <w:noProof/>
                <w:webHidden/>
              </w:rPr>
              <w:fldChar w:fldCharType="end"/>
            </w:r>
          </w:hyperlink>
        </w:p>
        <w:p w14:paraId="486CB37D" w14:textId="2F5C0B12" w:rsidR="006A1030" w:rsidRDefault="006A1030" w:rsidP="006A1030">
          <w:pPr>
            <w:pStyle w:val="TOC3"/>
            <w:tabs>
              <w:tab w:val="right" w:leader="dot" w:pos="9016"/>
            </w:tabs>
            <w:rPr>
              <w:rFonts w:eastAsiaTheme="minorEastAsia"/>
              <w:noProof/>
              <w:lang w:eastAsia="en-GB"/>
            </w:rPr>
          </w:pPr>
          <w:hyperlink w:anchor="_Toc227336135" w:history="1">
            <w:r w:rsidRPr="00257E4E">
              <w:rPr>
                <w:rStyle w:val="Hyperlink"/>
                <w:b/>
                <w:bCs/>
                <w:noProof/>
              </w:rPr>
              <w:t>2.1 Strategic rationale for subcontracting</w:t>
            </w:r>
            <w:r>
              <w:rPr>
                <w:noProof/>
                <w:webHidden/>
              </w:rPr>
              <w:tab/>
            </w:r>
            <w:r>
              <w:rPr>
                <w:noProof/>
                <w:webHidden/>
              </w:rPr>
              <w:fldChar w:fldCharType="begin"/>
            </w:r>
            <w:r>
              <w:rPr>
                <w:noProof/>
                <w:webHidden/>
              </w:rPr>
              <w:instrText xml:space="preserve"> PAGEREF _Toc227336135 \h </w:instrText>
            </w:r>
            <w:r>
              <w:rPr>
                <w:noProof/>
                <w:webHidden/>
              </w:rPr>
            </w:r>
            <w:r>
              <w:rPr>
                <w:noProof/>
                <w:webHidden/>
              </w:rPr>
              <w:fldChar w:fldCharType="separate"/>
            </w:r>
            <w:r>
              <w:rPr>
                <w:noProof/>
                <w:webHidden/>
              </w:rPr>
              <w:t>3</w:t>
            </w:r>
            <w:r>
              <w:rPr>
                <w:noProof/>
                <w:webHidden/>
              </w:rPr>
              <w:fldChar w:fldCharType="end"/>
            </w:r>
          </w:hyperlink>
        </w:p>
        <w:p w14:paraId="0D2EAC23" w14:textId="7BFF0F1C" w:rsidR="006A1030" w:rsidRDefault="006A1030" w:rsidP="006A1030">
          <w:pPr>
            <w:pStyle w:val="TOC3"/>
            <w:tabs>
              <w:tab w:val="right" w:leader="dot" w:pos="9016"/>
            </w:tabs>
            <w:rPr>
              <w:rFonts w:eastAsiaTheme="minorEastAsia"/>
              <w:noProof/>
              <w:lang w:eastAsia="en-GB"/>
            </w:rPr>
          </w:pPr>
          <w:hyperlink w:anchor="_Toc227336136" w:history="1">
            <w:r w:rsidRPr="00257E4E">
              <w:rPr>
                <w:rStyle w:val="Hyperlink"/>
                <w:b/>
                <w:bCs/>
                <w:noProof/>
              </w:rPr>
              <w:t>2.2 New arrangements: feasibility, due diligence, approval, capacity/resources</w:t>
            </w:r>
            <w:r>
              <w:rPr>
                <w:noProof/>
                <w:webHidden/>
              </w:rPr>
              <w:tab/>
            </w:r>
            <w:r>
              <w:rPr>
                <w:noProof/>
                <w:webHidden/>
              </w:rPr>
              <w:fldChar w:fldCharType="begin"/>
            </w:r>
            <w:r>
              <w:rPr>
                <w:noProof/>
                <w:webHidden/>
              </w:rPr>
              <w:instrText xml:space="preserve"> PAGEREF _Toc227336136 \h </w:instrText>
            </w:r>
            <w:r>
              <w:rPr>
                <w:noProof/>
                <w:webHidden/>
              </w:rPr>
            </w:r>
            <w:r>
              <w:rPr>
                <w:noProof/>
                <w:webHidden/>
              </w:rPr>
              <w:fldChar w:fldCharType="separate"/>
            </w:r>
            <w:r>
              <w:rPr>
                <w:noProof/>
                <w:webHidden/>
              </w:rPr>
              <w:t>4</w:t>
            </w:r>
            <w:r>
              <w:rPr>
                <w:noProof/>
                <w:webHidden/>
              </w:rPr>
              <w:fldChar w:fldCharType="end"/>
            </w:r>
          </w:hyperlink>
        </w:p>
        <w:p w14:paraId="528E7981" w14:textId="716F7754" w:rsidR="006A1030" w:rsidRDefault="006A1030" w:rsidP="006A1030">
          <w:pPr>
            <w:pStyle w:val="TOC3"/>
            <w:tabs>
              <w:tab w:val="right" w:leader="dot" w:pos="9016"/>
            </w:tabs>
            <w:rPr>
              <w:rFonts w:eastAsiaTheme="minorEastAsia"/>
              <w:noProof/>
              <w:lang w:eastAsia="en-GB"/>
            </w:rPr>
          </w:pPr>
          <w:hyperlink w:anchor="_Toc227336137" w:history="1">
            <w:r w:rsidRPr="00257E4E">
              <w:rPr>
                <w:rStyle w:val="Hyperlink"/>
                <w:b/>
                <w:bCs/>
                <w:noProof/>
              </w:rPr>
              <w:t>2.3 Governing</w:t>
            </w:r>
            <w:r w:rsidRPr="00257E4E">
              <w:rPr>
                <w:rStyle w:val="Hyperlink"/>
                <w:rFonts w:ascii="Cambria Math" w:hAnsi="Cambria Math" w:cs="Cambria Math"/>
                <w:b/>
                <w:bCs/>
                <w:noProof/>
              </w:rPr>
              <w:t>‑</w:t>
            </w:r>
            <w:r w:rsidRPr="00257E4E">
              <w:rPr>
                <w:rStyle w:val="Hyperlink"/>
                <w:b/>
                <w:bCs/>
                <w:noProof/>
              </w:rPr>
              <w:t>body &amp; academic oversight</w:t>
            </w:r>
            <w:r>
              <w:rPr>
                <w:noProof/>
                <w:webHidden/>
              </w:rPr>
              <w:tab/>
            </w:r>
            <w:r>
              <w:rPr>
                <w:noProof/>
                <w:webHidden/>
              </w:rPr>
              <w:fldChar w:fldCharType="begin"/>
            </w:r>
            <w:r>
              <w:rPr>
                <w:noProof/>
                <w:webHidden/>
              </w:rPr>
              <w:instrText xml:space="preserve"> PAGEREF _Toc227336137 \h </w:instrText>
            </w:r>
            <w:r>
              <w:rPr>
                <w:noProof/>
                <w:webHidden/>
              </w:rPr>
            </w:r>
            <w:r>
              <w:rPr>
                <w:noProof/>
                <w:webHidden/>
              </w:rPr>
              <w:fldChar w:fldCharType="separate"/>
            </w:r>
            <w:r>
              <w:rPr>
                <w:noProof/>
                <w:webHidden/>
              </w:rPr>
              <w:t>4</w:t>
            </w:r>
            <w:r>
              <w:rPr>
                <w:noProof/>
                <w:webHidden/>
              </w:rPr>
              <w:fldChar w:fldCharType="end"/>
            </w:r>
          </w:hyperlink>
        </w:p>
        <w:p w14:paraId="3ED82BF2" w14:textId="608614C1" w:rsidR="006A1030" w:rsidRDefault="006A1030" w:rsidP="006A1030">
          <w:pPr>
            <w:pStyle w:val="TOC3"/>
            <w:tabs>
              <w:tab w:val="right" w:leader="dot" w:pos="9016"/>
            </w:tabs>
            <w:rPr>
              <w:rFonts w:eastAsiaTheme="minorEastAsia"/>
              <w:noProof/>
              <w:lang w:eastAsia="en-GB"/>
            </w:rPr>
          </w:pPr>
          <w:hyperlink w:anchor="_Toc227336138" w:history="1">
            <w:r w:rsidRPr="00257E4E">
              <w:rPr>
                <w:rStyle w:val="Hyperlink"/>
                <w:b/>
                <w:bCs/>
                <w:noProof/>
              </w:rPr>
              <w:t>2.4 Risk identification and mitigation under the overarching E10 obligation</w:t>
            </w:r>
            <w:r>
              <w:rPr>
                <w:noProof/>
                <w:webHidden/>
              </w:rPr>
              <w:tab/>
            </w:r>
            <w:r>
              <w:rPr>
                <w:noProof/>
                <w:webHidden/>
              </w:rPr>
              <w:fldChar w:fldCharType="begin"/>
            </w:r>
            <w:r>
              <w:rPr>
                <w:noProof/>
                <w:webHidden/>
              </w:rPr>
              <w:instrText xml:space="preserve"> PAGEREF _Toc227336138 \h </w:instrText>
            </w:r>
            <w:r>
              <w:rPr>
                <w:noProof/>
                <w:webHidden/>
              </w:rPr>
            </w:r>
            <w:r>
              <w:rPr>
                <w:noProof/>
                <w:webHidden/>
              </w:rPr>
              <w:fldChar w:fldCharType="separate"/>
            </w:r>
            <w:r>
              <w:rPr>
                <w:noProof/>
                <w:webHidden/>
              </w:rPr>
              <w:t>5</w:t>
            </w:r>
            <w:r>
              <w:rPr>
                <w:noProof/>
                <w:webHidden/>
              </w:rPr>
              <w:fldChar w:fldCharType="end"/>
            </w:r>
          </w:hyperlink>
        </w:p>
        <w:p w14:paraId="061AB3D7" w14:textId="0D51D732" w:rsidR="006A1030" w:rsidRDefault="006A1030" w:rsidP="006A1030">
          <w:pPr>
            <w:pStyle w:val="TOC3"/>
            <w:tabs>
              <w:tab w:val="right" w:leader="dot" w:pos="9016"/>
            </w:tabs>
            <w:rPr>
              <w:rFonts w:eastAsiaTheme="minorEastAsia"/>
              <w:noProof/>
              <w:lang w:eastAsia="en-GB"/>
            </w:rPr>
          </w:pPr>
          <w:hyperlink w:anchor="_Toc227336139" w:history="1">
            <w:r w:rsidRPr="00257E4E">
              <w:rPr>
                <w:rStyle w:val="Hyperlink"/>
                <w:b/>
                <w:bCs/>
                <w:noProof/>
              </w:rPr>
              <w:t>2.5 Policies and procedures that control risk and protect students/taxpayers</w:t>
            </w:r>
            <w:r>
              <w:rPr>
                <w:noProof/>
                <w:webHidden/>
              </w:rPr>
              <w:tab/>
            </w:r>
            <w:r>
              <w:rPr>
                <w:noProof/>
                <w:webHidden/>
              </w:rPr>
              <w:fldChar w:fldCharType="begin"/>
            </w:r>
            <w:r>
              <w:rPr>
                <w:noProof/>
                <w:webHidden/>
              </w:rPr>
              <w:instrText xml:space="preserve"> PAGEREF _Toc227336139 \h </w:instrText>
            </w:r>
            <w:r>
              <w:rPr>
                <w:noProof/>
                <w:webHidden/>
              </w:rPr>
            </w:r>
            <w:r>
              <w:rPr>
                <w:noProof/>
                <w:webHidden/>
              </w:rPr>
              <w:fldChar w:fldCharType="separate"/>
            </w:r>
            <w:r>
              <w:rPr>
                <w:noProof/>
                <w:webHidden/>
              </w:rPr>
              <w:t>5</w:t>
            </w:r>
            <w:r>
              <w:rPr>
                <w:noProof/>
                <w:webHidden/>
              </w:rPr>
              <w:fldChar w:fldCharType="end"/>
            </w:r>
          </w:hyperlink>
        </w:p>
        <w:p w14:paraId="4971F92D" w14:textId="33C6875B" w:rsidR="006A1030" w:rsidRDefault="006A1030" w:rsidP="006A1030">
          <w:pPr>
            <w:pStyle w:val="TOC3"/>
            <w:tabs>
              <w:tab w:val="right" w:leader="dot" w:pos="9016"/>
            </w:tabs>
            <w:rPr>
              <w:rFonts w:eastAsiaTheme="minorEastAsia"/>
              <w:noProof/>
              <w:lang w:eastAsia="en-GB"/>
            </w:rPr>
          </w:pPr>
          <w:hyperlink w:anchor="_Toc227336140" w:history="1">
            <w:r w:rsidRPr="00257E4E">
              <w:rPr>
                <w:rStyle w:val="Hyperlink"/>
                <w:b/>
                <w:bCs/>
                <w:noProof/>
              </w:rPr>
              <w:t>2.6 Whistleblowing and conflicts of interest in subcontracted provision</w:t>
            </w:r>
            <w:r>
              <w:rPr>
                <w:noProof/>
                <w:webHidden/>
              </w:rPr>
              <w:tab/>
            </w:r>
            <w:r>
              <w:rPr>
                <w:noProof/>
                <w:webHidden/>
              </w:rPr>
              <w:fldChar w:fldCharType="begin"/>
            </w:r>
            <w:r>
              <w:rPr>
                <w:noProof/>
                <w:webHidden/>
              </w:rPr>
              <w:instrText xml:space="preserve"> PAGEREF _Toc227336140 \h </w:instrText>
            </w:r>
            <w:r>
              <w:rPr>
                <w:noProof/>
                <w:webHidden/>
              </w:rPr>
            </w:r>
            <w:r>
              <w:rPr>
                <w:noProof/>
                <w:webHidden/>
              </w:rPr>
              <w:fldChar w:fldCharType="separate"/>
            </w:r>
            <w:r>
              <w:rPr>
                <w:noProof/>
                <w:webHidden/>
              </w:rPr>
              <w:t>7</w:t>
            </w:r>
            <w:r>
              <w:rPr>
                <w:noProof/>
                <w:webHidden/>
              </w:rPr>
              <w:fldChar w:fldCharType="end"/>
            </w:r>
          </w:hyperlink>
        </w:p>
        <w:p w14:paraId="3471046C" w14:textId="14BF972B" w:rsidR="006A1030" w:rsidRDefault="006A1030" w:rsidP="006A1030">
          <w:pPr>
            <w:pStyle w:val="TOC3"/>
            <w:tabs>
              <w:tab w:val="right" w:leader="dot" w:pos="9016"/>
            </w:tabs>
            <w:rPr>
              <w:rFonts w:eastAsiaTheme="minorEastAsia"/>
              <w:noProof/>
              <w:lang w:eastAsia="en-GB"/>
            </w:rPr>
          </w:pPr>
          <w:hyperlink w:anchor="_Toc227336141" w:history="1">
            <w:r w:rsidRPr="00257E4E">
              <w:rPr>
                <w:rStyle w:val="Hyperlink"/>
                <w:b/>
                <w:bCs/>
                <w:noProof/>
              </w:rPr>
              <w:t>2.7 Adaptability</w:t>
            </w:r>
            <w:r>
              <w:rPr>
                <w:noProof/>
                <w:webHidden/>
              </w:rPr>
              <w:tab/>
            </w:r>
            <w:r>
              <w:rPr>
                <w:noProof/>
                <w:webHidden/>
              </w:rPr>
              <w:fldChar w:fldCharType="begin"/>
            </w:r>
            <w:r>
              <w:rPr>
                <w:noProof/>
                <w:webHidden/>
              </w:rPr>
              <w:instrText xml:space="preserve"> PAGEREF _Toc227336141 \h </w:instrText>
            </w:r>
            <w:r>
              <w:rPr>
                <w:noProof/>
                <w:webHidden/>
              </w:rPr>
            </w:r>
            <w:r>
              <w:rPr>
                <w:noProof/>
                <w:webHidden/>
              </w:rPr>
              <w:fldChar w:fldCharType="separate"/>
            </w:r>
            <w:r>
              <w:rPr>
                <w:noProof/>
                <w:webHidden/>
              </w:rPr>
              <w:t>7</w:t>
            </w:r>
            <w:r>
              <w:rPr>
                <w:noProof/>
                <w:webHidden/>
              </w:rPr>
              <w:fldChar w:fldCharType="end"/>
            </w:r>
          </w:hyperlink>
        </w:p>
        <w:p w14:paraId="6EC36B3D" w14:textId="107A2CAA" w:rsidR="006A1030" w:rsidRDefault="006A1030" w:rsidP="006A1030">
          <w:pPr>
            <w:pStyle w:val="TOC2"/>
            <w:tabs>
              <w:tab w:val="right" w:leader="dot" w:pos="9016"/>
            </w:tabs>
            <w:rPr>
              <w:rFonts w:eastAsiaTheme="minorEastAsia"/>
              <w:noProof/>
              <w:lang w:eastAsia="en-GB"/>
            </w:rPr>
          </w:pPr>
          <w:hyperlink w:anchor="_Toc227336142" w:history="1">
            <w:r w:rsidRPr="00257E4E">
              <w:rPr>
                <w:rStyle w:val="Hyperlink"/>
                <w:rFonts w:ascii="Segoe UI" w:eastAsia="Segoe UI" w:hAnsi="Segoe UI" w:cs="Segoe UI"/>
                <w:b/>
                <w:bCs/>
                <w:noProof/>
              </w:rPr>
              <w:t>3) Operating in accordance with our SIS (assurance of practice)</w:t>
            </w:r>
            <w:r>
              <w:rPr>
                <w:noProof/>
                <w:webHidden/>
              </w:rPr>
              <w:tab/>
            </w:r>
            <w:r>
              <w:rPr>
                <w:noProof/>
                <w:webHidden/>
              </w:rPr>
              <w:fldChar w:fldCharType="begin"/>
            </w:r>
            <w:r>
              <w:rPr>
                <w:noProof/>
                <w:webHidden/>
              </w:rPr>
              <w:instrText xml:space="preserve"> PAGEREF _Toc227336142 \h </w:instrText>
            </w:r>
            <w:r>
              <w:rPr>
                <w:noProof/>
                <w:webHidden/>
              </w:rPr>
            </w:r>
            <w:r>
              <w:rPr>
                <w:noProof/>
                <w:webHidden/>
              </w:rPr>
              <w:fldChar w:fldCharType="separate"/>
            </w:r>
            <w:r>
              <w:rPr>
                <w:noProof/>
                <w:webHidden/>
              </w:rPr>
              <w:t>8</w:t>
            </w:r>
            <w:r>
              <w:rPr>
                <w:noProof/>
                <w:webHidden/>
              </w:rPr>
              <w:fldChar w:fldCharType="end"/>
            </w:r>
          </w:hyperlink>
        </w:p>
        <w:p w14:paraId="59F5F25A" w14:textId="09705C02" w:rsidR="006A1030" w:rsidRDefault="006A1030" w:rsidP="006A1030">
          <w:pPr>
            <w:pStyle w:val="TOC3"/>
            <w:tabs>
              <w:tab w:val="right" w:leader="dot" w:pos="9016"/>
            </w:tabs>
            <w:rPr>
              <w:rFonts w:eastAsiaTheme="minorEastAsia"/>
              <w:noProof/>
              <w:lang w:eastAsia="en-GB"/>
            </w:rPr>
          </w:pPr>
          <w:hyperlink w:anchor="_Toc227336143" w:history="1">
            <w:r w:rsidRPr="00257E4E">
              <w:rPr>
                <w:rStyle w:val="Hyperlink"/>
                <w:b/>
                <w:bCs/>
                <w:noProof/>
              </w:rPr>
              <w:t>3.1 Contract enablement and sequencing</w:t>
            </w:r>
            <w:r>
              <w:rPr>
                <w:noProof/>
                <w:webHidden/>
              </w:rPr>
              <w:tab/>
            </w:r>
            <w:r>
              <w:rPr>
                <w:noProof/>
                <w:webHidden/>
              </w:rPr>
              <w:fldChar w:fldCharType="begin"/>
            </w:r>
            <w:r>
              <w:rPr>
                <w:noProof/>
                <w:webHidden/>
              </w:rPr>
              <w:instrText xml:space="preserve"> PAGEREF _Toc227336143 \h </w:instrText>
            </w:r>
            <w:r>
              <w:rPr>
                <w:noProof/>
                <w:webHidden/>
              </w:rPr>
            </w:r>
            <w:r>
              <w:rPr>
                <w:noProof/>
                <w:webHidden/>
              </w:rPr>
              <w:fldChar w:fldCharType="separate"/>
            </w:r>
            <w:r>
              <w:rPr>
                <w:noProof/>
                <w:webHidden/>
              </w:rPr>
              <w:t>8</w:t>
            </w:r>
            <w:r>
              <w:rPr>
                <w:noProof/>
                <w:webHidden/>
              </w:rPr>
              <w:fldChar w:fldCharType="end"/>
            </w:r>
          </w:hyperlink>
        </w:p>
        <w:p w14:paraId="4B5F55D0" w14:textId="0DA9817C" w:rsidR="006A1030" w:rsidRDefault="006A1030" w:rsidP="006A1030">
          <w:pPr>
            <w:pStyle w:val="TOC3"/>
            <w:tabs>
              <w:tab w:val="right" w:leader="dot" w:pos="9016"/>
            </w:tabs>
            <w:rPr>
              <w:rFonts w:eastAsiaTheme="minorEastAsia"/>
              <w:noProof/>
              <w:lang w:eastAsia="en-GB"/>
            </w:rPr>
          </w:pPr>
          <w:hyperlink w:anchor="_Toc227336144" w:history="1">
            <w:r w:rsidRPr="00257E4E">
              <w:rPr>
                <w:rStyle w:val="Hyperlink"/>
                <w:b/>
                <w:bCs/>
                <w:noProof/>
              </w:rPr>
              <w:t>3.2 Capacity and resources</w:t>
            </w:r>
            <w:r>
              <w:rPr>
                <w:noProof/>
                <w:webHidden/>
              </w:rPr>
              <w:tab/>
            </w:r>
            <w:r>
              <w:rPr>
                <w:noProof/>
                <w:webHidden/>
              </w:rPr>
              <w:fldChar w:fldCharType="begin"/>
            </w:r>
            <w:r>
              <w:rPr>
                <w:noProof/>
                <w:webHidden/>
              </w:rPr>
              <w:instrText xml:space="preserve"> PAGEREF _Toc227336144 \h </w:instrText>
            </w:r>
            <w:r>
              <w:rPr>
                <w:noProof/>
                <w:webHidden/>
              </w:rPr>
            </w:r>
            <w:r>
              <w:rPr>
                <w:noProof/>
                <w:webHidden/>
              </w:rPr>
              <w:fldChar w:fldCharType="separate"/>
            </w:r>
            <w:r>
              <w:rPr>
                <w:noProof/>
                <w:webHidden/>
              </w:rPr>
              <w:t>8</w:t>
            </w:r>
            <w:r>
              <w:rPr>
                <w:noProof/>
                <w:webHidden/>
              </w:rPr>
              <w:fldChar w:fldCharType="end"/>
            </w:r>
          </w:hyperlink>
        </w:p>
        <w:p w14:paraId="236BF4B7" w14:textId="28D60BB8" w:rsidR="006A1030" w:rsidRDefault="006A1030" w:rsidP="006A1030">
          <w:pPr>
            <w:pStyle w:val="TOC3"/>
            <w:tabs>
              <w:tab w:val="right" w:leader="dot" w:pos="9016"/>
            </w:tabs>
            <w:rPr>
              <w:rFonts w:eastAsiaTheme="minorEastAsia"/>
              <w:noProof/>
              <w:lang w:eastAsia="en-GB"/>
            </w:rPr>
          </w:pPr>
          <w:hyperlink w:anchor="_Toc227336145" w:history="1">
            <w:r w:rsidRPr="00257E4E">
              <w:rPr>
                <w:rStyle w:val="Hyperlink"/>
                <w:b/>
                <w:bCs/>
                <w:noProof/>
              </w:rPr>
              <w:t>3.3 Evidence of operation (available on request)</w:t>
            </w:r>
            <w:r>
              <w:rPr>
                <w:noProof/>
                <w:webHidden/>
              </w:rPr>
              <w:tab/>
            </w:r>
            <w:r>
              <w:rPr>
                <w:noProof/>
                <w:webHidden/>
              </w:rPr>
              <w:fldChar w:fldCharType="begin"/>
            </w:r>
            <w:r>
              <w:rPr>
                <w:noProof/>
                <w:webHidden/>
              </w:rPr>
              <w:instrText xml:space="preserve"> PAGEREF _Toc227336145 \h </w:instrText>
            </w:r>
            <w:r>
              <w:rPr>
                <w:noProof/>
                <w:webHidden/>
              </w:rPr>
            </w:r>
            <w:r>
              <w:rPr>
                <w:noProof/>
                <w:webHidden/>
              </w:rPr>
              <w:fldChar w:fldCharType="separate"/>
            </w:r>
            <w:r>
              <w:rPr>
                <w:noProof/>
                <w:webHidden/>
              </w:rPr>
              <w:t>9</w:t>
            </w:r>
            <w:r>
              <w:rPr>
                <w:noProof/>
                <w:webHidden/>
              </w:rPr>
              <w:fldChar w:fldCharType="end"/>
            </w:r>
          </w:hyperlink>
        </w:p>
        <w:p w14:paraId="7F97D663" w14:textId="4F913FD6" w:rsidR="006A1030" w:rsidRDefault="006A1030" w:rsidP="006A1030">
          <w:pPr>
            <w:pStyle w:val="TOC2"/>
            <w:tabs>
              <w:tab w:val="right" w:leader="dot" w:pos="9016"/>
            </w:tabs>
            <w:rPr>
              <w:rFonts w:eastAsiaTheme="minorEastAsia"/>
              <w:noProof/>
              <w:lang w:eastAsia="en-GB"/>
            </w:rPr>
          </w:pPr>
          <w:hyperlink w:anchor="_Toc227336146" w:history="1">
            <w:r w:rsidRPr="00257E4E">
              <w:rPr>
                <w:rStyle w:val="Hyperlink"/>
                <w:rFonts w:ascii="Segoe UI" w:eastAsia="Segoe UI" w:hAnsi="Segoe UI" w:cs="Segoe UI"/>
                <w:b/>
                <w:bCs/>
                <w:noProof/>
              </w:rPr>
              <w:t>4) Readiness, transparency and maintenance</w:t>
            </w:r>
            <w:r>
              <w:rPr>
                <w:noProof/>
                <w:webHidden/>
              </w:rPr>
              <w:tab/>
            </w:r>
            <w:r>
              <w:rPr>
                <w:noProof/>
                <w:webHidden/>
              </w:rPr>
              <w:fldChar w:fldCharType="begin"/>
            </w:r>
            <w:r>
              <w:rPr>
                <w:noProof/>
                <w:webHidden/>
              </w:rPr>
              <w:instrText xml:space="preserve"> PAGEREF _Toc227336146 \h </w:instrText>
            </w:r>
            <w:r>
              <w:rPr>
                <w:noProof/>
                <w:webHidden/>
              </w:rPr>
            </w:r>
            <w:r>
              <w:rPr>
                <w:noProof/>
                <w:webHidden/>
              </w:rPr>
              <w:fldChar w:fldCharType="separate"/>
            </w:r>
            <w:r>
              <w:rPr>
                <w:noProof/>
                <w:webHidden/>
              </w:rPr>
              <w:t>9</w:t>
            </w:r>
            <w:r>
              <w:rPr>
                <w:noProof/>
                <w:webHidden/>
              </w:rPr>
              <w:fldChar w:fldCharType="end"/>
            </w:r>
          </w:hyperlink>
        </w:p>
        <w:p w14:paraId="7F087FDC" w14:textId="7C021514" w:rsidR="006A1030" w:rsidRDefault="006A1030" w:rsidP="006A1030">
          <w:pPr>
            <w:pStyle w:val="TOC3"/>
            <w:tabs>
              <w:tab w:val="right" w:leader="dot" w:pos="9016"/>
            </w:tabs>
            <w:rPr>
              <w:rFonts w:eastAsiaTheme="minorEastAsia"/>
              <w:noProof/>
              <w:lang w:eastAsia="en-GB"/>
            </w:rPr>
          </w:pPr>
          <w:hyperlink w:anchor="_Toc227336147" w:history="1">
            <w:r w:rsidRPr="00257E4E">
              <w:rPr>
                <w:rStyle w:val="Hyperlink"/>
                <w:rFonts w:ascii="Segoe UI" w:eastAsia="Segoe UI" w:hAnsi="Segoe UI" w:cs="Segoe UI"/>
                <w:b/>
                <w:bCs/>
                <w:noProof/>
              </w:rPr>
              <w:t>Document References (University sources)</w:t>
            </w:r>
            <w:r>
              <w:rPr>
                <w:noProof/>
                <w:webHidden/>
              </w:rPr>
              <w:tab/>
            </w:r>
            <w:r>
              <w:rPr>
                <w:noProof/>
                <w:webHidden/>
              </w:rPr>
              <w:fldChar w:fldCharType="begin"/>
            </w:r>
            <w:r>
              <w:rPr>
                <w:noProof/>
                <w:webHidden/>
              </w:rPr>
              <w:instrText xml:space="preserve"> PAGEREF _Toc227336147 \h </w:instrText>
            </w:r>
            <w:r>
              <w:rPr>
                <w:noProof/>
                <w:webHidden/>
              </w:rPr>
            </w:r>
            <w:r>
              <w:rPr>
                <w:noProof/>
                <w:webHidden/>
              </w:rPr>
              <w:fldChar w:fldCharType="separate"/>
            </w:r>
            <w:r>
              <w:rPr>
                <w:noProof/>
                <w:webHidden/>
              </w:rPr>
              <w:t>11</w:t>
            </w:r>
            <w:r>
              <w:rPr>
                <w:noProof/>
                <w:webHidden/>
              </w:rPr>
              <w:fldChar w:fldCharType="end"/>
            </w:r>
          </w:hyperlink>
        </w:p>
        <w:p w14:paraId="041E0A58" w14:textId="77777777" w:rsidR="006A1030" w:rsidRDefault="006A1030" w:rsidP="006A1030">
          <w:pPr>
            <w:pStyle w:val="TOC3"/>
            <w:tabs>
              <w:tab w:val="right" w:leader="dot" w:pos="9015"/>
            </w:tabs>
            <w:spacing w:before="100" w:beforeAutospacing="1" w:afterAutospacing="1"/>
            <w:rPr>
              <w:rStyle w:val="Hyperlink"/>
            </w:rPr>
          </w:pPr>
          <w:r>
            <w:fldChar w:fldCharType="end"/>
          </w:r>
        </w:p>
      </w:sdtContent>
    </w:sdt>
    <w:p w14:paraId="0F7F8958" w14:textId="77777777" w:rsidR="006A1030" w:rsidRDefault="006A1030" w:rsidP="006A1030">
      <w:pPr>
        <w:pStyle w:val="TOC3"/>
        <w:tabs>
          <w:tab w:val="right" w:leader="dot" w:pos="9015"/>
        </w:tabs>
        <w:spacing w:before="100" w:beforeAutospacing="1" w:afterAutospacing="1"/>
        <w:rPr>
          <w:rStyle w:val="Hyperlink"/>
          <w:rFonts w:ascii="Segoe UI" w:eastAsia="Segoe UI" w:hAnsi="Segoe UI" w:cs="Segoe UI"/>
        </w:rPr>
      </w:pPr>
    </w:p>
    <w:p w14:paraId="2AC4B15D" w14:textId="78622BD2" w:rsidR="006A1030" w:rsidRDefault="006A1030" w:rsidP="006A1030">
      <w:pPr>
        <w:rPr>
          <w:rFonts w:ascii="Segoe UI" w:eastAsia="Segoe UI" w:hAnsi="Segoe UI" w:cs="Segoe UI"/>
        </w:rPr>
      </w:pPr>
      <w:r>
        <w:rPr>
          <w:rFonts w:ascii="Segoe UI" w:eastAsia="Segoe UI" w:hAnsi="Segoe UI" w:cs="Segoe UI"/>
        </w:rPr>
        <w:br w:type="page"/>
      </w:r>
    </w:p>
    <w:p w14:paraId="56D4FFB2" w14:textId="77777777" w:rsidR="006A1030" w:rsidRDefault="006A1030" w:rsidP="006A1030">
      <w:pPr>
        <w:pStyle w:val="Heading2"/>
        <w:spacing w:before="100" w:beforeAutospacing="1" w:after="100" w:afterAutospacing="1" w:line="300" w:lineRule="auto"/>
        <w:rPr>
          <w:rFonts w:ascii="Segoe UI" w:eastAsia="Segoe UI" w:hAnsi="Segoe UI" w:cs="Segoe UI"/>
          <w:b/>
          <w:bCs/>
          <w:sz w:val="36"/>
          <w:szCs w:val="36"/>
        </w:rPr>
      </w:pPr>
      <w:bookmarkStart w:id="2" w:name="_Toc227336133"/>
      <w:r w:rsidRPr="18D3A709">
        <w:rPr>
          <w:rFonts w:ascii="Segoe UI" w:eastAsia="Segoe UI" w:hAnsi="Segoe UI" w:cs="Segoe UI"/>
          <w:b/>
          <w:bCs/>
        </w:rPr>
        <w:t>1) Statement of compliance and scope</w:t>
      </w:r>
      <w:bookmarkEnd w:id="2"/>
    </w:p>
    <w:p w14:paraId="4462315F" w14:textId="77777777" w:rsidR="006A1030" w:rsidRDefault="006A1030" w:rsidP="006A1030">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2"/>
          <w:szCs w:val="22"/>
        </w:rPr>
        <w:t xml:space="preserve">London Metropolitan University confirms that it </w:t>
      </w:r>
      <w:r w:rsidRPr="00C479CA">
        <w:rPr>
          <w:rFonts w:ascii="Segoe UI" w:eastAsia="Segoe UI" w:hAnsi="Segoe UI" w:cs="Segoe UI"/>
          <w:sz w:val="22"/>
          <w:szCs w:val="22"/>
        </w:rPr>
        <w:t>operates</w:t>
      </w:r>
      <w:r w:rsidRPr="3ED5736A">
        <w:rPr>
          <w:rFonts w:ascii="Segoe UI" w:eastAsia="Segoe UI" w:hAnsi="Segoe UI" w:cs="Segoe UI"/>
          <w:sz w:val="22"/>
          <w:szCs w:val="22"/>
        </w:rPr>
        <w:t xml:space="preserve"> a comprehensive framework for subcontracted higher education that meets the regulatory expectations for oversight of subcontracted delivery. We </w:t>
      </w:r>
      <w:r w:rsidRPr="00C479CA">
        <w:rPr>
          <w:rFonts w:ascii="Segoe UI" w:eastAsia="Segoe UI" w:hAnsi="Segoe UI" w:cs="Segoe UI"/>
          <w:sz w:val="22"/>
          <w:szCs w:val="22"/>
        </w:rPr>
        <w:t>maintain a single, summary Subcontracting Information Source (SIS)</w:t>
      </w:r>
      <w:r w:rsidRPr="3ED5736A">
        <w:rPr>
          <w:rFonts w:ascii="Segoe UI" w:eastAsia="Segoe UI" w:hAnsi="Segoe UI" w:cs="Segoe UI"/>
          <w:sz w:val="22"/>
          <w:szCs w:val="22"/>
        </w:rPr>
        <w:t xml:space="preserve"> that signposts to our established University procedures</w:t>
      </w:r>
      <w:r>
        <w:rPr>
          <w:rFonts w:ascii="Segoe UI" w:eastAsia="Segoe UI" w:hAnsi="Segoe UI" w:cs="Segoe UI"/>
          <w:sz w:val="22"/>
          <w:szCs w:val="22"/>
        </w:rPr>
        <w:t>.</w:t>
      </w:r>
      <w:r w:rsidRPr="3ED5736A">
        <w:rPr>
          <w:rFonts w:ascii="Segoe UI" w:eastAsia="Segoe UI" w:hAnsi="Segoe UI" w:cs="Segoe UI"/>
          <w:sz w:val="22"/>
          <w:szCs w:val="22"/>
        </w:rPr>
        <w:t xml:space="preserve"> The SIS follows the content principles: </w:t>
      </w:r>
      <w:r w:rsidRPr="00C479CA">
        <w:rPr>
          <w:rFonts w:ascii="Segoe UI" w:eastAsia="Segoe UI" w:hAnsi="Segoe UI" w:cs="Segoe UI"/>
          <w:sz w:val="22"/>
          <w:szCs w:val="22"/>
        </w:rPr>
        <w:t>the Minimum Content Requirements take precedence, and there are no parallel documents</w:t>
      </w:r>
      <w:r w:rsidRPr="3ED5736A">
        <w:rPr>
          <w:rFonts w:ascii="Segoe UI" w:eastAsia="Segoe UI" w:hAnsi="Segoe UI" w:cs="Segoe UI"/>
          <w:sz w:val="22"/>
          <w:szCs w:val="22"/>
        </w:rPr>
        <w:t xml:space="preserve"> that contradict them.</w:t>
      </w:r>
    </w:p>
    <w:p w14:paraId="060CDDF6" w14:textId="77777777" w:rsidR="006A1030" w:rsidRDefault="006A1030" w:rsidP="006A1030">
      <w:pPr>
        <w:spacing w:before="100" w:beforeAutospacing="1" w:after="100" w:afterAutospacing="1" w:line="300" w:lineRule="auto"/>
        <w:rPr>
          <w:rFonts w:ascii="Segoe UI" w:eastAsia="Segoe UI" w:hAnsi="Segoe UI" w:cs="Segoe UI"/>
        </w:rPr>
      </w:pPr>
      <w:r w:rsidRPr="3ED5736A">
        <w:rPr>
          <w:rFonts w:ascii="Segoe UI" w:eastAsia="Segoe UI" w:hAnsi="Segoe UI" w:cs="Segoe UI"/>
          <w:sz w:val="22"/>
          <w:szCs w:val="22"/>
        </w:rPr>
        <w:t xml:space="preserve"> The SIS is anchored in the following sources of record:</w:t>
      </w:r>
    </w:p>
    <w:p w14:paraId="36ABCEAE" w14:textId="77777777" w:rsidR="006A1030" w:rsidRDefault="006A1030" w:rsidP="006A1030">
      <w:pPr>
        <w:pStyle w:val="ListParagraph"/>
        <w:numPr>
          <w:ilvl w:val="0"/>
          <w:numId w:val="6"/>
        </w:numPr>
        <w:spacing w:before="100" w:beforeAutospacing="1" w:after="100" w:afterAutospacing="1" w:line="300" w:lineRule="auto"/>
        <w:rPr>
          <w:rFonts w:ascii="Segoe UI" w:eastAsia="Segoe UI" w:hAnsi="Segoe UI" w:cs="Segoe UI"/>
          <w:color w:val="464FEB"/>
          <w:sz w:val="22"/>
          <w:szCs w:val="22"/>
        </w:rPr>
      </w:pPr>
      <w:hyperlink r:id="rId9">
        <w:r w:rsidRPr="3ED5736A">
          <w:rPr>
            <w:rStyle w:val="Hyperlink"/>
            <w:rFonts w:ascii="Segoe UI" w:eastAsia="Segoe UI" w:hAnsi="Segoe UI" w:cs="Segoe UI"/>
            <w:b/>
            <w:bCs/>
            <w:color w:val="464FEB"/>
            <w:sz w:val="22"/>
            <w:szCs w:val="22"/>
            <w:u w:val="none"/>
          </w:rPr>
          <w:t>Collaborative Partnerships Operational Manual 2025‑26 (POM)</w:t>
        </w:r>
      </w:hyperlink>
      <w:r w:rsidRPr="3ED5736A">
        <w:rPr>
          <w:rFonts w:ascii="Segoe UI" w:eastAsia="Segoe UI" w:hAnsi="Segoe UI" w:cs="Segoe UI"/>
          <w:sz w:val="22"/>
          <w:szCs w:val="22"/>
        </w:rPr>
        <w:t xml:space="preserve"> — operational responsibilities, governance and quality procedures for collaborative provision. </w:t>
      </w:r>
    </w:p>
    <w:p w14:paraId="7824B868" w14:textId="77777777" w:rsidR="006A1030" w:rsidRDefault="006A1030" w:rsidP="006A1030">
      <w:pPr>
        <w:pStyle w:val="ListParagraph"/>
        <w:numPr>
          <w:ilvl w:val="0"/>
          <w:numId w:val="6"/>
        </w:numPr>
        <w:spacing w:before="100" w:beforeAutospacing="1" w:after="100" w:afterAutospacing="1" w:line="300" w:lineRule="auto"/>
        <w:rPr>
          <w:rFonts w:ascii="Segoe UI" w:eastAsia="Segoe UI" w:hAnsi="Segoe UI" w:cs="Segoe UI"/>
          <w:color w:val="464FEB"/>
          <w:sz w:val="22"/>
          <w:szCs w:val="22"/>
        </w:rPr>
      </w:pPr>
      <w:hyperlink r:id="rId10">
        <w:r w:rsidRPr="3ED5736A">
          <w:rPr>
            <w:rStyle w:val="Hyperlink"/>
            <w:rFonts w:ascii="Segoe UI" w:eastAsia="Segoe UI" w:hAnsi="Segoe UI" w:cs="Segoe UI"/>
            <w:b/>
            <w:bCs/>
            <w:color w:val="464FEB"/>
            <w:sz w:val="22"/>
            <w:szCs w:val="22"/>
            <w:u w:val="none"/>
          </w:rPr>
          <w:t>Collaborative Academic Partnership Lifecycle Process 2025‑26 (PLC)</w:t>
        </w:r>
      </w:hyperlink>
      <w:r w:rsidRPr="3ED5736A">
        <w:rPr>
          <w:rFonts w:ascii="Segoe UI" w:eastAsia="Segoe UI" w:hAnsi="Segoe UI" w:cs="Segoe UI"/>
          <w:sz w:val="22"/>
          <w:szCs w:val="22"/>
        </w:rPr>
        <w:t xml:space="preserve"> — end‑to‑end lifecycle for due diligence, approval, monitoring, review, change control, and closure/teach‑out. </w:t>
      </w:r>
    </w:p>
    <w:p w14:paraId="33C36DC3" w14:textId="77777777" w:rsidR="006A1030" w:rsidRDefault="006A1030" w:rsidP="006A1030">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b/>
          <w:bCs/>
          <w:sz w:val="22"/>
          <w:szCs w:val="22"/>
        </w:rPr>
        <w:t>Scope &amp; trigger:</w:t>
      </w:r>
      <w:r w:rsidRPr="3ED5736A">
        <w:rPr>
          <w:rFonts w:ascii="Segoe UI" w:eastAsia="Segoe UI" w:hAnsi="Segoe UI" w:cs="Segoe UI"/>
          <w:sz w:val="22"/>
          <w:szCs w:val="22"/>
        </w:rPr>
        <w:t xml:space="preserve"> London Met recognises that Condition E10 applies when we have, or reasonably should have concluded we will have, 100 or more students on relevant subcontracted courses in a given academic year. Compliance runs from the later of one year prior to the relevant academic year or the point at which we should reasonably have concluded the threshold will be met; if numbers subsequently fall below 100, we continue to comply for the remainder of that academic year.</w:t>
      </w:r>
    </w:p>
    <w:p w14:paraId="6B568E9B" w14:textId="77777777" w:rsidR="006A1030" w:rsidRDefault="006A1030" w:rsidP="006A1030">
      <w:pPr>
        <w:pStyle w:val="Heading2"/>
        <w:spacing w:before="100" w:beforeAutospacing="1" w:after="100" w:afterAutospacing="1" w:line="300" w:lineRule="auto"/>
        <w:rPr>
          <w:rFonts w:ascii="Segoe UI" w:eastAsia="Segoe UI" w:hAnsi="Segoe UI" w:cs="Segoe UI"/>
          <w:b/>
          <w:bCs/>
          <w:sz w:val="36"/>
          <w:szCs w:val="36"/>
        </w:rPr>
      </w:pPr>
      <w:bookmarkStart w:id="3" w:name="_Toc227336134"/>
      <w:r w:rsidRPr="18D3A709">
        <w:rPr>
          <w:rFonts w:ascii="Segoe UI" w:eastAsia="Segoe UI" w:hAnsi="Segoe UI" w:cs="Segoe UI"/>
          <w:b/>
          <w:bCs/>
        </w:rPr>
        <w:t>2) How we meet the E10 expectations</w:t>
      </w:r>
      <w:bookmarkEnd w:id="3"/>
      <w:r w:rsidRPr="18D3A709">
        <w:rPr>
          <w:rFonts w:ascii="Segoe UI" w:eastAsia="Segoe UI" w:hAnsi="Segoe UI" w:cs="Segoe UI"/>
          <w:b/>
          <w:bCs/>
        </w:rPr>
        <w:t xml:space="preserve"> </w:t>
      </w:r>
    </w:p>
    <w:p w14:paraId="72A9B60F" w14:textId="77777777" w:rsidR="006A1030" w:rsidRDefault="006A1030" w:rsidP="006A1030">
      <w:pPr>
        <w:pStyle w:val="Heading3"/>
        <w:spacing w:before="100" w:beforeAutospacing="1" w:after="100" w:afterAutospacing="1" w:line="300" w:lineRule="auto"/>
        <w:rPr>
          <w:rFonts w:ascii="Segoe UI" w:eastAsia="Segoe UI" w:hAnsi="Segoe UI" w:cs="Segoe UI"/>
          <w:b/>
          <w:bCs/>
        </w:rPr>
      </w:pPr>
      <w:bookmarkStart w:id="4" w:name="_Toc227336135"/>
      <w:r w:rsidRPr="18D3A709">
        <w:rPr>
          <w:b/>
          <w:bCs/>
        </w:rPr>
        <w:t>2.1 Strategic rationale for subcontracting</w:t>
      </w:r>
      <w:bookmarkEnd w:id="4"/>
    </w:p>
    <w:p w14:paraId="73BA5110" w14:textId="77777777" w:rsidR="006A1030" w:rsidRDefault="006A1030" w:rsidP="006A1030">
      <w:pPr>
        <w:spacing w:before="100" w:beforeAutospacing="1" w:after="100" w:afterAutospacing="1" w:line="300" w:lineRule="auto"/>
        <w:rPr>
          <w:rFonts w:ascii="Segoe UI" w:eastAsia="Segoe UI" w:hAnsi="Segoe UI" w:cs="Segoe UI"/>
          <w:color w:val="464FEB"/>
          <w:sz w:val="22"/>
          <w:szCs w:val="22"/>
        </w:rPr>
      </w:pPr>
      <w:r>
        <w:rPr>
          <w:rFonts w:ascii="Segoe UI" w:eastAsia="Segoe UI" w:hAnsi="Segoe UI" w:cs="Segoe UI"/>
          <w:sz w:val="22"/>
          <w:szCs w:val="22"/>
        </w:rPr>
        <w:t xml:space="preserve">London Met believes that the power of education transforms lives and it is the vision of London Met to make education accessible to prospective students around the globe. We are committed to ensuring there are opportunities for students from all backgrounds and that through our Student Success Strategy and Education for Social Justice Framework, working with sub-contractual providers enables London Met to attract students who may ordinarily believe that university is an unobtainable goal. </w:t>
      </w:r>
      <w:r w:rsidRPr="3ED5736A">
        <w:rPr>
          <w:rFonts w:ascii="Segoe UI" w:eastAsia="Segoe UI" w:hAnsi="Segoe UI" w:cs="Segoe UI"/>
          <w:sz w:val="22"/>
          <w:szCs w:val="22"/>
        </w:rPr>
        <w:t xml:space="preserve">Our approach is grounded in the </w:t>
      </w:r>
      <w:r w:rsidRPr="00D20D44">
        <w:rPr>
          <w:rFonts w:ascii="Segoe UI" w:eastAsia="Segoe UI" w:hAnsi="Segoe UI" w:cs="Segoe UI"/>
          <w:sz w:val="22"/>
          <w:szCs w:val="22"/>
        </w:rPr>
        <w:t>responsibility for academic standards and the quality of learning opportunities irrespective of where/how courses are delivered, implemented through a risk‑based model</w:t>
      </w:r>
      <w:r w:rsidRPr="3ED5736A">
        <w:rPr>
          <w:rFonts w:ascii="Segoe UI" w:eastAsia="Segoe UI" w:hAnsi="Segoe UI" w:cs="Segoe UI"/>
          <w:sz w:val="22"/>
          <w:szCs w:val="22"/>
        </w:rPr>
        <w:t xml:space="preserve"> of oversight. </w:t>
      </w:r>
      <w:r w:rsidRPr="00F95CBA">
        <w:rPr>
          <w:rFonts w:ascii="Segoe UI" w:eastAsia="Segoe UI" w:hAnsi="Segoe UI" w:cs="Segoe UI"/>
          <w:sz w:val="22"/>
          <w:szCs w:val="22"/>
        </w:rPr>
        <w:t>(POM §3.1–§3.3; PLC §1.1–§1.3; §2.6)</w:t>
      </w:r>
      <w:r w:rsidRPr="3ED5736A">
        <w:rPr>
          <w:rFonts w:ascii="Segoe UI" w:eastAsia="Segoe UI" w:hAnsi="Segoe UI" w:cs="Segoe UI"/>
          <w:sz w:val="22"/>
          <w:szCs w:val="22"/>
        </w:rPr>
        <w:t xml:space="preserve"> </w:t>
      </w:r>
    </w:p>
    <w:p w14:paraId="4DC4B724" w14:textId="77777777" w:rsidR="006A1030" w:rsidRDefault="006A1030" w:rsidP="006A1030">
      <w:pPr>
        <w:spacing w:before="100" w:beforeAutospacing="1" w:after="100" w:afterAutospacing="1" w:line="300" w:lineRule="auto"/>
        <w:rPr>
          <w:rFonts w:ascii="Segoe UI" w:eastAsia="Segoe UI" w:hAnsi="Segoe UI" w:cs="Segoe UI"/>
          <w:sz w:val="22"/>
          <w:szCs w:val="22"/>
        </w:rPr>
      </w:pPr>
      <w:r>
        <w:rPr>
          <w:rFonts w:ascii="Segoe UI" w:eastAsia="Segoe UI" w:hAnsi="Segoe UI" w:cs="Segoe UI"/>
          <w:sz w:val="22"/>
          <w:szCs w:val="22"/>
        </w:rPr>
        <w:t xml:space="preserve">We work with our partners to consider flexible delivery modules to support a ‘widening-participation’ agenda. </w:t>
      </w:r>
      <w:r w:rsidRPr="3ED5736A">
        <w:rPr>
          <w:rFonts w:ascii="Segoe UI" w:eastAsia="Segoe UI" w:hAnsi="Segoe UI" w:cs="Segoe UI"/>
          <w:sz w:val="22"/>
          <w:szCs w:val="22"/>
        </w:rPr>
        <w:t xml:space="preserve">In setting and operating this rationale, the interests of students </w:t>
      </w:r>
      <w:r>
        <w:rPr>
          <w:rFonts w:ascii="Segoe UI" w:eastAsia="Segoe UI" w:hAnsi="Segoe UI" w:cs="Segoe UI"/>
          <w:sz w:val="22"/>
          <w:szCs w:val="22"/>
        </w:rPr>
        <w:t xml:space="preserve">and access to education </w:t>
      </w:r>
      <w:r w:rsidRPr="3ED5736A">
        <w:rPr>
          <w:rFonts w:ascii="Segoe UI" w:eastAsia="Segoe UI" w:hAnsi="Segoe UI" w:cs="Segoe UI"/>
          <w:sz w:val="22"/>
          <w:szCs w:val="22"/>
        </w:rPr>
        <w:t>are prioritised over financial considerations.</w:t>
      </w:r>
    </w:p>
    <w:p w14:paraId="0EB2C250" w14:textId="77777777" w:rsidR="006A1030" w:rsidRPr="005E4DA9" w:rsidRDefault="006A1030" w:rsidP="006A1030">
      <w:pPr>
        <w:pStyle w:val="Heading3"/>
        <w:spacing w:before="100" w:beforeAutospacing="1" w:after="100" w:afterAutospacing="1" w:line="300" w:lineRule="auto"/>
        <w:rPr>
          <w:b/>
          <w:bCs/>
        </w:rPr>
      </w:pPr>
      <w:bookmarkStart w:id="5" w:name="_Toc227336136"/>
      <w:r w:rsidRPr="005E4DA9">
        <w:rPr>
          <w:b/>
          <w:bCs/>
        </w:rPr>
        <w:t>2.2 New arrangements: feasibility, due diligence, approval, capacity/resources</w:t>
      </w:r>
      <w:bookmarkEnd w:id="5"/>
    </w:p>
    <w:p w14:paraId="7AD52F8E" w14:textId="77777777" w:rsidR="006A1030" w:rsidRPr="005E4DA9" w:rsidRDefault="006A1030" w:rsidP="006A1030">
      <w:pPr>
        <w:spacing w:before="100" w:beforeAutospacing="1" w:after="100" w:afterAutospacing="1"/>
        <w:rPr>
          <w:rFonts w:ascii="Segoe UI" w:hAnsi="Segoe UI" w:cs="Segoe UI"/>
          <w:sz w:val="22"/>
          <w:szCs w:val="22"/>
        </w:rPr>
      </w:pPr>
      <w:r w:rsidRPr="005E4DA9">
        <w:rPr>
          <w:rFonts w:ascii="Segoe UI" w:hAnsi="Segoe UI" w:cs="Segoe UI"/>
          <w:sz w:val="22"/>
          <w:szCs w:val="22"/>
        </w:rPr>
        <w:t>For all potential new partners, we ensure there is a strategic alliance and ‘good fit’ with London Met. We request an ‘Expression of Interest’ which sets out who the potential new partner is and their aspirations for working collaboratively. London Met’s senior leadership team vet the Expression of Interest and agree to the potential partnership developing further. This will involve the following:</w:t>
      </w:r>
    </w:p>
    <w:p w14:paraId="5F8E5923" w14:textId="77777777" w:rsidR="006A1030" w:rsidRPr="00D9563A" w:rsidRDefault="006A1030" w:rsidP="006A1030">
      <w:pPr>
        <w:pStyle w:val="ListParagraph"/>
        <w:numPr>
          <w:ilvl w:val="0"/>
          <w:numId w:val="5"/>
        </w:numPr>
        <w:spacing w:before="100" w:beforeAutospacing="1" w:after="100" w:afterAutospacing="1" w:line="300" w:lineRule="auto"/>
        <w:rPr>
          <w:rFonts w:ascii="Segoe UI" w:eastAsia="Segoe UI" w:hAnsi="Segoe UI" w:cs="Segoe UI"/>
          <w:sz w:val="22"/>
          <w:szCs w:val="22"/>
        </w:rPr>
      </w:pPr>
      <w:r w:rsidRPr="00D9563A">
        <w:rPr>
          <w:rFonts w:ascii="Segoe UI" w:eastAsia="Segoe UI" w:hAnsi="Segoe UI" w:cs="Segoe UI"/>
          <w:sz w:val="22"/>
          <w:szCs w:val="22"/>
        </w:rPr>
        <w:t xml:space="preserve">Institutional Approval / full due diligence (legal status, financial viability, governance, quality systems, student support) prior to any credit‑bearing collaborative delivery. (PLC §6.1–§6.9) </w:t>
      </w:r>
    </w:p>
    <w:p w14:paraId="72FE8BF9" w14:textId="77777777" w:rsidR="006A1030" w:rsidRPr="00D9563A" w:rsidRDefault="006A1030" w:rsidP="006A1030">
      <w:pPr>
        <w:pStyle w:val="ListParagraph"/>
        <w:numPr>
          <w:ilvl w:val="0"/>
          <w:numId w:val="5"/>
        </w:numPr>
        <w:spacing w:before="100" w:beforeAutospacing="1" w:after="100" w:afterAutospacing="1" w:line="300" w:lineRule="auto"/>
        <w:rPr>
          <w:rFonts w:ascii="Segoe UI" w:eastAsia="Segoe UI" w:hAnsi="Segoe UI" w:cs="Segoe UI"/>
          <w:sz w:val="22"/>
          <w:szCs w:val="22"/>
        </w:rPr>
      </w:pPr>
      <w:r w:rsidRPr="00D9563A">
        <w:rPr>
          <w:rFonts w:ascii="Segoe UI" w:eastAsia="Segoe UI" w:hAnsi="Segoe UI" w:cs="Segoe UI"/>
          <w:sz w:val="22"/>
          <w:szCs w:val="22"/>
        </w:rPr>
        <w:t>Academic Business Case demonstrating feasibility (resources/staffing, market case, three‑year financial plan) with School and Collaborative Partnership Committee (CPC) scrutiny. (PLC §7.1–§7.5)</w:t>
      </w:r>
    </w:p>
    <w:p w14:paraId="2A4CBDC1" w14:textId="77777777" w:rsidR="006A1030" w:rsidRPr="00D9563A" w:rsidRDefault="006A1030" w:rsidP="006A1030">
      <w:pPr>
        <w:pStyle w:val="ListParagraph"/>
        <w:numPr>
          <w:ilvl w:val="0"/>
          <w:numId w:val="5"/>
        </w:numPr>
        <w:spacing w:before="100" w:beforeAutospacing="1" w:after="100" w:afterAutospacing="1" w:line="300" w:lineRule="auto"/>
        <w:rPr>
          <w:rFonts w:ascii="Segoe UI" w:eastAsia="Segoe UI" w:hAnsi="Segoe UI" w:cs="Segoe UI"/>
          <w:sz w:val="22"/>
          <w:szCs w:val="22"/>
        </w:rPr>
      </w:pPr>
      <w:r w:rsidRPr="00D9563A">
        <w:rPr>
          <w:rFonts w:ascii="Segoe UI" w:eastAsia="Segoe UI" w:hAnsi="Segoe UI" w:cs="Segoe UI"/>
          <w:sz w:val="22"/>
          <w:szCs w:val="22"/>
        </w:rPr>
        <w:t>Course Approval for each delivery, including a panel with external input, resource/site verification (in‑person or virtual with ALT follow‑up site report), and staffing CV checks. (PLC §8.1–§8.11)</w:t>
      </w:r>
    </w:p>
    <w:p w14:paraId="5D1856F9" w14:textId="77777777" w:rsidR="006A1030" w:rsidRPr="00D9563A" w:rsidRDefault="006A1030" w:rsidP="006A1030">
      <w:pPr>
        <w:pStyle w:val="ListParagraph"/>
        <w:numPr>
          <w:ilvl w:val="0"/>
          <w:numId w:val="5"/>
        </w:numPr>
        <w:spacing w:before="100" w:beforeAutospacing="1" w:after="100" w:afterAutospacing="1" w:line="300" w:lineRule="auto"/>
        <w:rPr>
          <w:rFonts w:ascii="Segoe UI" w:eastAsia="Segoe UI" w:hAnsi="Segoe UI" w:cs="Segoe UI"/>
          <w:sz w:val="22"/>
          <w:szCs w:val="22"/>
        </w:rPr>
      </w:pPr>
      <w:r w:rsidRPr="00D9563A">
        <w:rPr>
          <w:rFonts w:ascii="Segoe UI" w:eastAsia="Segoe UI" w:hAnsi="Segoe UI" w:cs="Segoe UI"/>
          <w:sz w:val="22"/>
          <w:szCs w:val="22"/>
        </w:rPr>
        <w:t>Contracts executed before delivery (IMoA and CLA) so that delivery can operate in accordance with University requirements. (PLC §10.1–§10.7)</w:t>
      </w:r>
    </w:p>
    <w:p w14:paraId="09CD81B3" w14:textId="77777777" w:rsidR="006A1030" w:rsidRPr="005E4DA9" w:rsidRDefault="006A1030" w:rsidP="006A1030">
      <w:pPr>
        <w:pStyle w:val="Heading3"/>
        <w:spacing w:before="100" w:beforeAutospacing="1" w:after="100" w:afterAutospacing="1" w:line="300" w:lineRule="auto"/>
        <w:rPr>
          <w:b/>
          <w:bCs/>
        </w:rPr>
      </w:pPr>
      <w:bookmarkStart w:id="6" w:name="_Toc227336137"/>
      <w:r w:rsidRPr="005E4DA9">
        <w:rPr>
          <w:b/>
          <w:bCs/>
        </w:rPr>
        <w:t>2.3 Governing</w:t>
      </w:r>
      <w:r w:rsidRPr="005E4DA9">
        <w:rPr>
          <w:rFonts w:ascii="Cambria Math" w:hAnsi="Cambria Math" w:cs="Cambria Math"/>
          <w:b/>
          <w:bCs/>
        </w:rPr>
        <w:t>‑</w:t>
      </w:r>
      <w:r w:rsidRPr="005E4DA9">
        <w:rPr>
          <w:b/>
          <w:bCs/>
        </w:rPr>
        <w:t>body &amp; academic oversight</w:t>
      </w:r>
      <w:bookmarkEnd w:id="6"/>
    </w:p>
    <w:p w14:paraId="2BF57171" w14:textId="77777777" w:rsidR="006A1030" w:rsidRDefault="006A1030" w:rsidP="006A1030">
      <w:pPr>
        <w:spacing w:before="100" w:beforeAutospacing="1" w:after="100" w:afterAutospacing="1" w:line="300" w:lineRule="auto"/>
        <w:rPr>
          <w:rFonts w:ascii="Segoe UI" w:eastAsia="Segoe UI" w:hAnsi="Segoe UI" w:cs="Segoe UI"/>
          <w:sz w:val="22"/>
          <w:szCs w:val="22"/>
        </w:rPr>
      </w:pPr>
      <w:r w:rsidRPr="00014F4C">
        <w:rPr>
          <w:rFonts w:ascii="Segoe UI" w:eastAsia="Segoe UI" w:hAnsi="Segoe UI" w:cs="Segoe UI"/>
          <w:sz w:val="22"/>
          <w:szCs w:val="22"/>
        </w:rPr>
        <w:t>The University governance structure embeds oversight of collaborative provision: the Board of Governors receives assurance via the Academic Board and its committees, with the Collaborative Partnerships Committee (CPC) responsible for collaborative quality/standards and defined reporting lines in the University organogram. (POM §2.1.2–§2.1.4; Appendix 1)</w:t>
      </w:r>
    </w:p>
    <w:p w14:paraId="020DC57C" w14:textId="77777777" w:rsidR="006A1030" w:rsidRDefault="006A1030" w:rsidP="006A1030">
      <w:pPr>
        <w:spacing w:before="100" w:beforeAutospacing="1" w:after="100" w:afterAutospacing="1" w:line="300" w:lineRule="auto"/>
        <w:rPr>
          <w:rFonts w:ascii="Segoe UI" w:eastAsia="Segoe UI" w:hAnsi="Segoe UI" w:cs="Segoe UI"/>
          <w:sz w:val="22"/>
          <w:szCs w:val="22"/>
        </w:rPr>
      </w:pPr>
      <w:r w:rsidRPr="18D3A709">
        <w:rPr>
          <w:rFonts w:ascii="Segoe UI" w:eastAsia="Segoe UI" w:hAnsi="Segoe UI" w:cs="Segoe UI"/>
          <w:sz w:val="22"/>
          <w:szCs w:val="22"/>
        </w:rPr>
        <w:t xml:space="preserve">CPC meets quarterly and has responsibility for strategic oversight of collaborative partnership provision. London Met maintains a Partnership Dashboard which is updated and presented at each CPC with a summary of identified risks and an understanding of mitigation of identified risks; the dashboard is informed by numerous sources of information including external body reports, Quality Continuous Monitoring activity, financial and legal activities and information, results from auditing (internal and external) activities, Academic Liaison Tutor visits and reports, partnership reviews and repeat due diligence. </w:t>
      </w:r>
    </w:p>
    <w:p w14:paraId="655DD9D2" w14:textId="77777777" w:rsidR="006A1030" w:rsidRPr="005E4DA9" w:rsidRDefault="006A1030" w:rsidP="006A1030">
      <w:pPr>
        <w:pStyle w:val="Heading3"/>
        <w:spacing w:before="100" w:beforeAutospacing="1" w:after="100" w:afterAutospacing="1" w:line="300" w:lineRule="auto"/>
        <w:rPr>
          <w:b/>
          <w:bCs/>
        </w:rPr>
      </w:pPr>
      <w:bookmarkStart w:id="7" w:name="_Toc227336138"/>
      <w:r w:rsidRPr="18D3A709">
        <w:rPr>
          <w:b/>
          <w:bCs/>
        </w:rPr>
        <w:t>2.4 Risk identification and mitigation under the overarching E10 obligation</w:t>
      </w:r>
      <w:bookmarkEnd w:id="7"/>
    </w:p>
    <w:p w14:paraId="5C7A3AD6" w14:textId="77777777" w:rsidR="006A1030" w:rsidRPr="005E4DA9" w:rsidRDefault="006A1030" w:rsidP="006A1030">
      <w:pPr>
        <w:pStyle w:val="NormalWeb"/>
        <w:spacing w:line="300" w:lineRule="atLeast"/>
        <w:rPr>
          <w:rFonts w:ascii="Segoe UI" w:eastAsia="Segoe UI" w:hAnsi="Segoe UI" w:cs="Segoe UI"/>
          <w:kern w:val="2"/>
          <w:sz w:val="22"/>
          <w:szCs w:val="22"/>
          <w:lang w:eastAsia="en-US"/>
          <w14:ligatures w14:val="standardContextual"/>
        </w:rPr>
      </w:pPr>
      <w:r w:rsidRPr="005E4DA9">
        <w:rPr>
          <w:rFonts w:ascii="Segoe UI" w:eastAsia="Segoe UI" w:hAnsi="Segoe UI" w:cs="Segoe UI"/>
          <w:kern w:val="2"/>
          <w:sz w:val="22"/>
          <w:szCs w:val="22"/>
          <w:lang w:eastAsia="en-US"/>
          <w14:ligatures w14:val="standardContextual"/>
        </w:rPr>
        <w:t>In operating relevant sub contractual arrangements, we explicitly identify and mitigate risks to the interests of students and taxpayers that the Office for Students has highlighted as sector wide concerns, including misrepresentation of courses, unsuitable recruitment or admissions practices, inadequate student engagement and attendance, weak academic standards, and risks to the integrity of public funding.</w:t>
      </w:r>
    </w:p>
    <w:p w14:paraId="583003A6" w14:textId="77777777" w:rsidR="006A1030" w:rsidRPr="005E4DA9" w:rsidRDefault="006A1030" w:rsidP="006A1030">
      <w:pPr>
        <w:pStyle w:val="NormalWeb"/>
        <w:spacing w:line="300" w:lineRule="atLeast"/>
        <w:rPr>
          <w:rFonts w:ascii="Segoe UI" w:eastAsia="Segoe UI" w:hAnsi="Segoe UI" w:cs="Segoe UI"/>
          <w:kern w:val="2"/>
          <w:sz w:val="22"/>
          <w:szCs w:val="22"/>
          <w:lang w:eastAsia="en-US"/>
          <w14:ligatures w14:val="standardContextual"/>
        </w:rPr>
      </w:pPr>
      <w:r w:rsidRPr="005E4DA9">
        <w:rPr>
          <w:rFonts w:ascii="Segoe UI" w:eastAsia="Segoe UI" w:hAnsi="Segoe UI" w:cs="Segoe UI"/>
          <w:kern w:val="2"/>
          <w:sz w:val="22"/>
          <w:szCs w:val="22"/>
          <w:lang w:eastAsia="en-US"/>
          <w14:ligatures w14:val="standardContextual"/>
        </w:rPr>
        <w:t>These risks are managed through a combination of front</w:t>
      </w:r>
      <w:r w:rsidRPr="005E4DA9">
        <w:rPr>
          <w:rFonts w:ascii="Segoe UI" w:eastAsia="Segoe UI" w:hAnsi="Segoe UI" w:cs="Segoe UI"/>
          <w:kern w:val="2"/>
          <w:sz w:val="22"/>
          <w:szCs w:val="22"/>
          <w:lang w:eastAsia="en-US"/>
          <w14:ligatures w14:val="standardContextual"/>
        </w:rPr>
        <w:noBreakHyphen/>
        <w:t>end controls, ongoing monitoring and escalation mechanisms, including: institutional due diligence and course</w:t>
      </w:r>
      <w:r w:rsidRPr="005E4DA9">
        <w:rPr>
          <w:rFonts w:ascii="Segoe UI" w:eastAsia="Segoe UI" w:hAnsi="Segoe UI" w:cs="Segoe UI"/>
          <w:kern w:val="2"/>
          <w:sz w:val="22"/>
          <w:szCs w:val="22"/>
          <w:lang w:eastAsia="en-US"/>
          <w14:ligatures w14:val="standardContextual"/>
        </w:rPr>
        <w:noBreakHyphen/>
        <w:t>level approval prior to delivery; approval and audit of admissions activity (including non</w:t>
      </w:r>
      <w:r w:rsidRPr="005E4DA9">
        <w:rPr>
          <w:rFonts w:ascii="Segoe UI" w:eastAsia="Segoe UI" w:hAnsi="Segoe UI" w:cs="Segoe UI"/>
          <w:kern w:val="2"/>
          <w:sz w:val="22"/>
          <w:szCs w:val="22"/>
          <w:lang w:eastAsia="en-US"/>
          <w14:ligatures w14:val="standardContextual"/>
        </w:rPr>
        <w:noBreakHyphen/>
        <w:t>standard applicants); direct oversight of teaching, assessment and standards through Academic Liaison Tutors, External Examiners and Assessment Boards; structured monitoring of student engagement and attendance; and review of student outcomes, complaints and academic misconduct. Where risk indicators emerge, the University applies proportionate intervention through its Cause for Concern / High</w:t>
      </w:r>
      <w:r w:rsidRPr="005E4DA9">
        <w:rPr>
          <w:rFonts w:ascii="Segoe UI" w:eastAsia="Segoe UI" w:hAnsi="Segoe UI" w:cs="Segoe UI"/>
          <w:kern w:val="2"/>
          <w:sz w:val="22"/>
          <w:szCs w:val="22"/>
          <w:lang w:eastAsia="en-US"/>
          <w14:ligatures w14:val="standardContextual"/>
        </w:rPr>
        <w:noBreakHyphen/>
        <w:t>Risk Partner process, with escalation to senior academic and governing body committees as required.</w:t>
      </w:r>
    </w:p>
    <w:p w14:paraId="4508E453" w14:textId="77777777" w:rsidR="006A1030" w:rsidRPr="005E4DA9" w:rsidRDefault="006A1030" w:rsidP="006A1030">
      <w:pPr>
        <w:pStyle w:val="NormalWeb"/>
        <w:spacing w:line="300" w:lineRule="atLeast"/>
        <w:rPr>
          <w:rFonts w:ascii="Segoe UI" w:eastAsia="Segoe UI" w:hAnsi="Segoe UI" w:cs="Segoe UI"/>
          <w:kern w:val="2"/>
          <w:sz w:val="22"/>
          <w:szCs w:val="22"/>
          <w:lang w:eastAsia="en-US"/>
          <w14:ligatures w14:val="standardContextual"/>
        </w:rPr>
      </w:pPr>
      <w:r w:rsidRPr="005E4DA9">
        <w:rPr>
          <w:rFonts w:ascii="Segoe UI" w:eastAsia="Segoe UI" w:hAnsi="Segoe UI" w:cs="Segoe UI"/>
          <w:kern w:val="2"/>
          <w:sz w:val="22"/>
          <w:szCs w:val="22"/>
          <w:lang w:eastAsia="en-US"/>
          <w14:ligatures w14:val="standardContextual"/>
        </w:rPr>
        <w:t>The effectiveness of these controls is tested through regular monitoring activity, audit, review and reporting, and informs adjustments to oversight intensity, contractual terms, or continuation of arrangements where necessary. London Metropolitan University therefore treats compliance with Condition E10 not as a documentary exercise, but as an integral part of its academic governance and student protection framework.</w:t>
      </w:r>
    </w:p>
    <w:p w14:paraId="012C2903" w14:textId="77777777" w:rsidR="006A1030" w:rsidRPr="005E4DA9" w:rsidRDefault="006A1030" w:rsidP="006A1030">
      <w:pPr>
        <w:pStyle w:val="Heading3"/>
        <w:spacing w:before="100" w:beforeAutospacing="1" w:after="100" w:afterAutospacing="1" w:line="300" w:lineRule="auto"/>
        <w:rPr>
          <w:b/>
          <w:bCs/>
        </w:rPr>
      </w:pPr>
      <w:bookmarkStart w:id="8" w:name="_Toc227336139"/>
      <w:r w:rsidRPr="005E4DA9">
        <w:rPr>
          <w:b/>
          <w:bCs/>
        </w:rPr>
        <w:t>2.5 Policies and procedures that control risk and protect students/taxpayers</w:t>
      </w:r>
      <w:bookmarkEnd w:id="8"/>
    </w:p>
    <w:p w14:paraId="162DF7F0" w14:textId="77777777" w:rsidR="006A1030" w:rsidRPr="00014F4C" w:rsidRDefault="006A1030" w:rsidP="006A1030">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2"/>
          <w:szCs w:val="22"/>
        </w:rPr>
        <w:t xml:space="preserve">Our approval and ongoing monitoring processes are </w:t>
      </w:r>
      <w:r w:rsidRPr="00014F4C">
        <w:rPr>
          <w:rFonts w:ascii="Segoe UI" w:eastAsia="Segoe UI" w:hAnsi="Segoe UI" w:cs="Segoe UI"/>
          <w:sz w:val="22"/>
          <w:szCs w:val="22"/>
        </w:rPr>
        <w:t xml:space="preserve">used to assure compliance with </w:t>
      </w:r>
      <w:proofErr w:type="spellStart"/>
      <w:r w:rsidRPr="00014F4C">
        <w:rPr>
          <w:rFonts w:ascii="Segoe UI" w:eastAsia="Segoe UI" w:hAnsi="Segoe UI" w:cs="Segoe UI"/>
          <w:sz w:val="22"/>
          <w:szCs w:val="22"/>
        </w:rPr>
        <w:t>OfS</w:t>
      </w:r>
      <w:proofErr w:type="spellEnd"/>
      <w:r w:rsidRPr="00014F4C">
        <w:rPr>
          <w:rFonts w:ascii="Segoe UI" w:eastAsia="Segoe UI" w:hAnsi="Segoe UI" w:cs="Segoe UI"/>
          <w:sz w:val="22"/>
          <w:szCs w:val="22"/>
        </w:rPr>
        <w:t xml:space="preserve"> Conditions B1–B5 for subcontracted delivery.</w:t>
      </w:r>
    </w:p>
    <w:p w14:paraId="7C8D6D3B" w14:textId="77777777" w:rsidR="006A1030" w:rsidRPr="00D9563A" w:rsidRDefault="006A1030" w:rsidP="006A1030">
      <w:pPr>
        <w:spacing w:before="100" w:beforeAutospacing="1" w:after="100" w:afterAutospacing="1" w:line="300" w:lineRule="auto"/>
        <w:rPr>
          <w:rFonts w:ascii="Segoe UI" w:eastAsia="Segoe UI" w:hAnsi="Segoe UI" w:cs="Segoe UI"/>
        </w:rPr>
      </w:pPr>
      <w:r w:rsidRPr="00014F4C">
        <w:rPr>
          <w:rFonts w:ascii="Segoe UI" w:eastAsia="Segoe UI" w:hAnsi="Segoe UI" w:cs="Segoe UI"/>
          <w:sz w:val="22"/>
          <w:szCs w:val="22"/>
        </w:rPr>
        <w:t>Our POM/PLC set out the core procedures partners must follow, including:</w:t>
      </w:r>
    </w:p>
    <w:p w14:paraId="58A45ADE" w14:textId="77777777" w:rsidR="006A1030" w:rsidRPr="00D9563A" w:rsidRDefault="006A1030" w:rsidP="006A1030">
      <w:pPr>
        <w:pStyle w:val="ListParagraph"/>
        <w:numPr>
          <w:ilvl w:val="0"/>
          <w:numId w:val="4"/>
        </w:numPr>
        <w:spacing w:before="100" w:beforeAutospacing="1" w:after="100" w:afterAutospacing="1" w:line="300" w:lineRule="auto"/>
        <w:rPr>
          <w:rFonts w:ascii="Segoe UI" w:eastAsia="Segoe UI" w:hAnsi="Segoe UI" w:cs="Segoe UI"/>
          <w:sz w:val="22"/>
          <w:szCs w:val="22"/>
        </w:rPr>
      </w:pPr>
      <w:r w:rsidRPr="123F570A">
        <w:rPr>
          <w:rFonts w:ascii="Segoe UI" w:eastAsia="Segoe UI" w:hAnsi="Segoe UI" w:cs="Segoe UI"/>
          <w:sz w:val="22"/>
          <w:szCs w:val="22"/>
        </w:rPr>
        <w:t xml:space="preserve">Admissions (incl. non‑standard/exceptions) — partner processes to agreed criteria; ALT approval for non‑standard applicants; audit of admissions records. (POM §10.1.3–§10.1.8) </w:t>
      </w:r>
      <w:r>
        <w:rPr>
          <w:rFonts w:ascii="Segoe UI" w:eastAsia="Segoe UI" w:hAnsi="Segoe UI" w:cs="Segoe UI"/>
          <w:sz w:val="22"/>
          <w:szCs w:val="22"/>
        </w:rPr>
        <w:t>. For sub-contractual arrangements where students will seek to access Student Loan Company funding via London Met’s Student Loan Company portal, all unconditional offers are approved by the London Met Admissions team.</w:t>
      </w:r>
    </w:p>
    <w:p w14:paraId="343EE492" w14:textId="77777777" w:rsidR="006A1030" w:rsidRPr="00D9563A" w:rsidRDefault="006A1030" w:rsidP="006A1030">
      <w:pPr>
        <w:pStyle w:val="ListParagraph"/>
        <w:numPr>
          <w:ilvl w:val="0"/>
          <w:numId w:val="4"/>
        </w:numPr>
        <w:spacing w:before="100" w:beforeAutospacing="1" w:after="100" w:afterAutospacing="1" w:line="300" w:lineRule="auto"/>
        <w:rPr>
          <w:rFonts w:ascii="Segoe UI" w:eastAsia="Segoe UI" w:hAnsi="Segoe UI" w:cs="Segoe UI"/>
          <w:sz w:val="22"/>
          <w:szCs w:val="22"/>
        </w:rPr>
      </w:pPr>
      <w:r w:rsidRPr="00D9563A">
        <w:rPr>
          <w:rFonts w:ascii="Segoe UI" w:eastAsia="Segoe UI" w:hAnsi="Segoe UI" w:cs="Segoe UI"/>
          <w:sz w:val="22"/>
          <w:szCs w:val="22"/>
        </w:rPr>
        <w:t>Assessment, external examining and assessment boards — principles, moderation/sampling, external examiner oversight, and board conduct. (POM §13; §14; §15–§16)</w:t>
      </w:r>
    </w:p>
    <w:p w14:paraId="6BD37A6C" w14:textId="77777777" w:rsidR="006A1030" w:rsidRPr="00D9563A" w:rsidRDefault="006A1030" w:rsidP="006A1030">
      <w:pPr>
        <w:pStyle w:val="ListParagraph"/>
        <w:numPr>
          <w:ilvl w:val="0"/>
          <w:numId w:val="4"/>
        </w:numPr>
        <w:spacing w:before="100" w:beforeAutospacing="1" w:after="100" w:afterAutospacing="1" w:line="300" w:lineRule="auto"/>
        <w:rPr>
          <w:rFonts w:ascii="Segoe UI" w:eastAsia="Segoe UI" w:hAnsi="Segoe UI" w:cs="Segoe UI"/>
          <w:sz w:val="22"/>
          <w:szCs w:val="22"/>
        </w:rPr>
      </w:pPr>
      <w:r w:rsidRPr="00D9563A">
        <w:rPr>
          <w:rFonts w:ascii="Segoe UI" w:eastAsia="Segoe UI" w:hAnsi="Segoe UI" w:cs="Segoe UI"/>
          <w:sz w:val="22"/>
          <w:szCs w:val="22"/>
        </w:rPr>
        <w:t>Student voice and course committees — bi‑annual meetings with student representatives; minutes to ALT/AQD; student feedback feeding continuous monitoring. (POM §21)</w:t>
      </w:r>
    </w:p>
    <w:p w14:paraId="2B0C62B8" w14:textId="77777777" w:rsidR="006A1030" w:rsidRPr="00D9563A" w:rsidRDefault="006A1030" w:rsidP="006A1030">
      <w:pPr>
        <w:pStyle w:val="ListParagraph"/>
        <w:numPr>
          <w:ilvl w:val="0"/>
          <w:numId w:val="4"/>
        </w:numPr>
        <w:spacing w:before="100" w:beforeAutospacing="1" w:after="100" w:afterAutospacing="1" w:line="300" w:lineRule="auto"/>
        <w:rPr>
          <w:rFonts w:ascii="Segoe UI" w:eastAsia="Segoe UI" w:hAnsi="Segoe UI" w:cs="Segoe UI"/>
          <w:sz w:val="22"/>
          <w:szCs w:val="22"/>
        </w:rPr>
      </w:pPr>
      <w:r w:rsidRPr="00D9563A">
        <w:rPr>
          <w:rFonts w:ascii="Segoe UI" w:eastAsia="Segoe UI" w:hAnsi="Segoe UI" w:cs="Segoe UI"/>
          <w:sz w:val="22"/>
          <w:szCs w:val="22"/>
        </w:rPr>
        <w:t>Complaints — partner complaint handling aligned to University expectations, escalation to University review, and onward access to independent adjudication as applicable. (POM §24.5)</w:t>
      </w:r>
    </w:p>
    <w:p w14:paraId="1533EC76" w14:textId="77777777" w:rsidR="006A1030" w:rsidRPr="00D9563A" w:rsidRDefault="006A1030" w:rsidP="006A1030">
      <w:pPr>
        <w:pStyle w:val="ListParagraph"/>
        <w:numPr>
          <w:ilvl w:val="0"/>
          <w:numId w:val="4"/>
        </w:numPr>
        <w:spacing w:before="100" w:beforeAutospacing="1" w:after="100" w:afterAutospacing="1" w:line="300" w:lineRule="auto"/>
        <w:rPr>
          <w:rFonts w:ascii="Segoe UI" w:eastAsia="Segoe UI" w:hAnsi="Segoe UI" w:cs="Segoe UI"/>
          <w:sz w:val="22"/>
          <w:szCs w:val="22"/>
        </w:rPr>
      </w:pPr>
      <w:r w:rsidRPr="18D3A709">
        <w:rPr>
          <w:rFonts w:ascii="Segoe UI" w:eastAsia="Segoe UI" w:hAnsi="Segoe UI" w:cs="Segoe UI"/>
          <w:sz w:val="22"/>
          <w:szCs w:val="22"/>
        </w:rPr>
        <w:t>Collaborative partners will be expected to report at timely intervals on the number and nature of complaints (including E6 related complaints) received with a precis of how they have been resolved.</w:t>
      </w:r>
    </w:p>
    <w:p w14:paraId="04032684" w14:textId="77777777" w:rsidR="006A1030" w:rsidRPr="00D9563A" w:rsidRDefault="006A1030" w:rsidP="006A1030">
      <w:pPr>
        <w:pStyle w:val="ListParagraph"/>
        <w:numPr>
          <w:ilvl w:val="0"/>
          <w:numId w:val="4"/>
        </w:numPr>
        <w:spacing w:before="100" w:beforeAutospacing="1" w:after="100" w:afterAutospacing="1" w:line="300" w:lineRule="auto"/>
        <w:rPr>
          <w:rFonts w:ascii="Segoe UI" w:eastAsia="Segoe UI" w:hAnsi="Segoe UI" w:cs="Segoe UI"/>
          <w:sz w:val="22"/>
          <w:szCs w:val="22"/>
        </w:rPr>
      </w:pPr>
      <w:r w:rsidRPr="00D9563A">
        <w:rPr>
          <w:rFonts w:ascii="Segoe UI" w:eastAsia="Segoe UI" w:hAnsi="Segoe UI" w:cs="Segoe UI"/>
          <w:sz w:val="22"/>
          <w:szCs w:val="22"/>
        </w:rPr>
        <w:t xml:space="preserve">Academic misconduct — University policy and procedures; partner arrangements must be consistent. (POM §24.3) </w:t>
      </w:r>
    </w:p>
    <w:p w14:paraId="07E9398C" w14:textId="77777777" w:rsidR="006A1030" w:rsidRPr="00D9563A" w:rsidRDefault="006A1030" w:rsidP="006A1030">
      <w:pPr>
        <w:pStyle w:val="ListParagraph"/>
        <w:numPr>
          <w:ilvl w:val="0"/>
          <w:numId w:val="4"/>
        </w:numPr>
        <w:spacing w:before="100" w:beforeAutospacing="1" w:after="100" w:afterAutospacing="1" w:line="300" w:lineRule="auto"/>
        <w:rPr>
          <w:rFonts w:ascii="Segoe UI" w:eastAsia="Segoe UI" w:hAnsi="Segoe UI" w:cs="Segoe UI"/>
          <w:sz w:val="22"/>
          <w:szCs w:val="22"/>
        </w:rPr>
      </w:pPr>
      <w:r w:rsidRPr="00D9563A">
        <w:rPr>
          <w:rFonts w:ascii="Segoe UI" w:eastAsia="Segoe UI" w:hAnsi="Segoe UI" w:cs="Segoe UI"/>
          <w:sz w:val="22"/>
          <w:szCs w:val="22"/>
        </w:rPr>
        <w:t>Collaborative partners will be expected to report at timely intervals on the number and nature of academic misconduct cases received with a precis of how they have been resolved.</w:t>
      </w:r>
    </w:p>
    <w:p w14:paraId="19516E0D" w14:textId="77777777" w:rsidR="006A1030" w:rsidRPr="00D9563A" w:rsidRDefault="006A1030" w:rsidP="006A1030">
      <w:pPr>
        <w:pStyle w:val="ListParagraph"/>
        <w:numPr>
          <w:ilvl w:val="0"/>
          <w:numId w:val="4"/>
        </w:numPr>
        <w:spacing w:before="100" w:beforeAutospacing="1" w:after="100" w:afterAutospacing="1" w:line="300" w:lineRule="auto"/>
        <w:rPr>
          <w:rFonts w:ascii="Segoe UI" w:eastAsia="Segoe UI" w:hAnsi="Segoe UI" w:cs="Segoe UI"/>
          <w:sz w:val="22"/>
          <w:szCs w:val="22"/>
        </w:rPr>
      </w:pPr>
      <w:r w:rsidRPr="00D9563A">
        <w:rPr>
          <w:rFonts w:ascii="Segoe UI" w:eastAsia="Segoe UI" w:hAnsi="Segoe UI" w:cs="Segoe UI"/>
          <w:sz w:val="22"/>
          <w:szCs w:val="22"/>
        </w:rPr>
        <w:t>Attendance/engagement &amp; protection of public funding — attendance/engagement monitoring, attendance monitoring visits at regular intervals, and status reporting obligations. (POM §10.10.3–§10.10.8)</w:t>
      </w:r>
    </w:p>
    <w:p w14:paraId="63F7B96B" w14:textId="77777777" w:rsidR="006A1030" w:rsidRPr="00D9563A" w:rsidRDefault="006A1030" w:rsidP="006A1030">
      <w:pPr>
        <w:pStyle w:val="ListParagraph"/>
        <w:numPr>
          <w:ilvl w:val="0"/>
          <w:numId w:val="4"/>
        </w:numPr>
        <w:spacing w:before="100" w:beforeAutospacing="1" w:after="100" w:afterAutospacing="1" w:line="300" w:lineRule="auto"/>
        <w:rPr>
          <w:rFonts w:ascii="Segoe UI" w:eastAsia="Segoe UI" w:hAnsi="Segoe UI" w:cs="Segoe UI"/>
          <w:sz w:val="22"/>
          <w:szCs w:val="22"/>
        </w:rPr>
      </w:pPr>
      <w:r w:rsidRPr="00D9563A">
        <w:rPr>
          <w:rFonts w:ascii="Segoe UI" w:eastAsia="Segoe UI" w:hAnsi="Segoe UI" w:cs="Segoe UI"/>
          <w:sz w:val="22"/>
          <w:szCs w:val="22"/>
        </w:rPr>
        <w:t>Access to information and data protection — secure student data sharing/record creation; defined staff IT access (e.g., ARMs/</w:t>
      </w:r>
      <w:proofErr w:type="spellStart"/>
      <w:r w:rsidRPr="00D9563A">
        <w:rPr>
          <w:rFonts w:ascii="Segoe UI" w:eastAsia="Segoe UI" w:hAnsi="Segoe UI" w:cs="Segoe UI"/>
          <w:sz w:val="22"/>
          <w:szCs w:val="22"/>
        </w:rPr>
        <w:t>WebLearn</w:t>
      </w:r>
      <w:proofErr w:type="spellEnd"/>
      <w:r w:rsidRPr="00D9563A">
        <w:rPr>
          <w:rFonts w:ascii="Segoe UI" w:eastAsia="Segoe UI" w:hAnsi="Segoe UI" w:cs="Segoe UI"/>
          <w:sz w:val="22"/>
          <w:szCs w:val="22"/>
        </w:rPr>
        <w:t>) for designated partner personnel; Data Protection policy responsibilities. (POM §10.1.2–§10.1.5; §19.4; §30.1–§30.7)</w:t>
      </w:r>
    </w:p>
    <w:p w14:paraId="31912FC3" w14:textId="77777777" w:rsidR="006A1030" w:rsidRPr="00D9563A" w:rsidRDefault="006A1030" w:rsidP="006A1030">
      <w:pPr>
        <w:pStyle w:val="ListParagraph"/>
        <w:numPr>
          <w:ilvl w:val="0"/>
          <w:numId w:val="4"/>
        </w:numPr>
        <w:spacing w:before="100" w:beforeAutospacing="1" w:after="100" w:afterAutospacing="1" w:line="300" w:lineRule="auto"/>
        <w:rPr>
          <w:rFonts w:ascii="Segoe UI" w:eastAsia="Segoe UI" w:hAnsi="Segoe UI" w:cs="Segoe UI"/>
          <w:sz w:val="22"/>
          <w:szCs w:val="22"/>
        </w:rPr>
      </w:pPr>
      <w:r w:rsidRPr="00D9563A">
        <w:rPr>
          <w:rFonts w:ascii="Segoe UI" w:eastAsia="Segoe UI" w:hAnsi="Segoe UI" w:cs="Segoe UI"/>
          <w:sz w:val="22"/>
          <w:szCs w:val="22"/>
        </w:rPr>
        <w:t>Ongoing oversight and review — Continuous Monitoring, Partner Review, Periodic Course Review/Revalidation, with External Examiner reports and student voice as key inputs; Repeat Due Diligence with risk ratings and consequential oversight. (PLC §13–§17; §15; POM §14; §21; §31)</w:t>
      </w:r>
    </w:p>
    <w:p w14:paraId="29E22947" w14:textId="77777777" w:rsidR="006A1030" w:rsidRPr="00D9563A" w:rsidRDefault="006A1030" w:rsidP="006A1030">
      <w:pPr>
        <w:pStyle w:val="ListParagraph"/>
        <w:numPr>
          <w:ilvl w:val="0"/>
          <w:numId w:val="4"/>
        </w:numPr>
        <w:spacing w:before="100" w:beforeAutospacing="1" w:after="100" w:afterAutospacing="1" w:line="300" w:lineRule="auto"/>
        <w:rPr>
          <w:rFonts w:ascii="Segoe UI" w:eastAsia="Segoe UI" w:hAnsi="Segoe UI" w:cs="Segoe UI"/>
          <w:sz w:val="22"/>
          <w:szCs w:val="22"/>
        </w:rPr>
      </w:pPr>
      <w:r w:rsidRPr="00D9563A">
        <w:rPr>
          <w:rFonts w:ascii="Segoe UI" w:eastAsia="Segoe UI" w:hAnsi="Segoe UI" w:cs="Segoe UI"/>
          <w:sz w:val="22"/>
          <w:szCs w:val="22"/>
        </w:rPr>
        <w:t>Controlled change management — location changes/additional sites, additional cohorts/courses, staffing changes, course modifications and variation control, ensuring delivery remains within approved parameters. (PLC §19–§22; §21; POM §27)</w:t>
      </w:r>
    </w:p>
    <w:p w14:paraId="64564FAC" w14:textId="77777777" w:rsidR="006A1030" w:rsidRPr="00D9563A" w:rsidRDefault="006A1030" w:rsidP="006A1030">
      <w:pPr>
        <w:pStyle w:val="ListParagraph"/>
        <w:numPr>
          <w:ilvl w:val="0"/>
          <w:numId w:val="4"/>
        </w:numPr>
        <w:spacing w:before="100" w:beforeAutospacing="1" w:after="100" w:afterAutospacing="1" w:line="300" w:lineRule="auto"/>
        <w:rPr>
          <w:rFonts w:ascii="Segoe UI" w:eastAsia="Segoe UI" w:hAnsi="Segoe UI" w:cs="Segoe UI"/>
          <w:sz w:val="22"/>
          <w:szCs w:val="22"/>
        </w:rPr>
      </w:pPr>
      <w:r w:rsidRPr="00D9563A">
        <w:rPr>
          <w:rFonts w:ascii="Segoe UI" w:eastAsia="Segoe UI" w:hAnsi="Segoe UI" w:cs="Segoe UI"/>
          <w:sz w:val="22"/>
          <w:szCs w:val="22"/>
        </w:rPr>
        <w:t>Escalation for poor performance/risk — Cause for Concern / High‑Risk Partner procedure with investigation, improvement plan, close monitoring, and escalation to SLT/CPC; emergency review or termination where necessary. (PLC §18.1–§18.5)</w:t>
      </w:r>
    </w:p>
    <w:p w14:paraId="5E3B733E" w14:textId="77777777" w:rsidR="006A1030" w:rsidRPr="00D9563A" w:rsidRDefault="006A1030" w:rsidP="006A1030">
      <w:pPr>
        <w:pStyle w:val="ListParagraph"/>
        <w:numPr>
          <w:ilvl w:val="0"/>
          <w:numId w:val="4"/>
        </w:numPr>
        <w:spacing w:before="100" w:beforeAutospacing="1" w:after="100" w:afterAutospacing="1" w:line="300" w:lineRule="auto"/>
        <w:rPr>
          <w:rFonts w:ascii="Segoe UI" w:eastAsia="Segoe UI" w:hAnsi="Segoe UI" w:cs="Segoe UI"/>
          <w:sz w:val="22"/>
          <w:szCs w:val="22"/>
        </w:rPr>
      </w:pPr>
      <w:r w:rsidRPr="18D3A709">
        <w:rPr>
          <w:rFonts w:ascii="Segoe UI" w:eastAsia="Segoe UI" w:hAnsi="Segoe UI" w:cs="Segoe UI"/>
          <w:sz w:val="22"/>
          <w:szCs w:val="22"/>
        </w:rPr>
        <w:t>Teach‑out / delivery failure — termination process and teach‑out/transfer arrangements to protect students and conclude provision responsibly. (PLC §25–§26)</w:t>
      </w:r>
    </w:p>
    <w:p w14:paraId="29C0F1BC" w14:textId="77777777" w:rsidR="006A1030" w:rsidRPr="00D9563A" w:rsidRDefault="006A1030" w:rsidP="006A1030">
      <w:pPr>
        <w:pStyle w:val="ListParagraph"/>
        <w:numPr>
          <w:ilvl w:val="0"/>
          <w:numId w:val="7"/>
        </w:numPr>
        <w:spacing w:before="100" w:beforeAutospacing="1" w:after="100" w:afterAutospacing="1" w:line="300" w:lineRule="auto"/>
        <w:rPr>
          <w:rFonts w:ascii="Segoe UI" w:eastAsia="Segoe UI" w:hAnsi="Segoe UI" w:cs="Segoe UI"/>
          <w:sz w:val="32"/>
          <w:szCs w:val="32"/>
        </w:rPr>
      </w:pPr>
      <w:r w:rsidRPr="00D9563A">
        <w:rPr>
          <w:rFonts w:ascii="Segoe UI" w:eastAsia="Segoe UI" w:hAnsi="Segoe UI" w:cs="Segoe UI"/>
          <w:sz w:val="22"/>
          <w:szCs w:val="22"/>
        </w:rPr>
        <w:t xml:space="preserve">Recruitment agents: Partner promotion is governed through marketing approval (POM §8) and CMA compliance (POM §9), with periodic checks of partner webpages (PLC §23) and escalation via the Cause for Concern / High‑Risk Partner process where needed (PLC §18.1–§18.5); </w:t>
      </w:r>
    </w:p>
    <w:p w14:paraId="6A067576" w14:textId="77777777" w:rsidR="006A1030" w:rsidRPr="00D9563A" w:rsidRDefault="006A1030" w:rsidP="006A1030">
      <w:pPr>
        <w:pStyle w:val="ListParagraph"/>
        <w:numPr>
          <w:ilvl w:val="0"/>
          <w:numId w:val="3"/>
        </w:numPr>
        <w:spacing w:before="100" w:beforeAutospacing="1" w:after="100" w:afterAutospacing="1" w:line="300" w:lineRule="auto"/>
        <w:rPr>
          <w:rFonts w:ascii="Segoe UI" w:eastAsia="Segoe UI" w:hAnsi="Segoe UI" w:cs="Segoe UI"/>
          <w:sz w:val="22"/>
          <w:szCs w:val="22"/>
        </w:rPr>
      </w:pPr>
      <w:r w:rsidRPr="00D9563A">
        <w:rPr>
          <w:rFonts w:ascii="Segoe UI" w:eastAsia="Segoe UI" w:hAnsi="Segoe UI" w:cs="Segoe UI"/>
          <w:sz w:val="22"/>
          <w:szCs w:val="22"/>
        </w:rPr>
        <w:t>Where partners use recruitment agents, London Met requires sight and approval of the partner’s ‘Agents Policy’ as part of the due diligence information request; London Met will, from time-to-time, ask students about their experience with agents and report any concerns it has to the collaborative partner for immediate action.</w:t>
      </w:r>
    </w:p>
    <w:p w14:paraId="14D52A9A" w14:textId="77777777" w:rsidR="006A1030" w:rsidRDefault="006A1030" w:rsidP="006A1030">
      <w:pPr>
        <w:pStyle w:val="ListParagraph"/>
        <w:numPr>
          <w:ilvl w:val="0"/>
          <w:numId w:val="3"/>
        </w:numPr>
        <w:spacing w:before="100" w:beforeAutospacing="1" w:after="100" w:afterAutospacing="1" w:line="300" w:lineRule="auto"/>
        <w:rPr>
          <w:rFonts w:ascii="Segoe UI" w:eastAsia="Segoe UI" w:hAnsi="Segoe UI" w:cs="Segoe UI"/>
          <w:sz w:val="22"/>
          <w:szCs w:val="22"/>
        </w:rPr>
      </w:pPr>
      <w:r w:rsidRPr="18D3A709">
        <w:rPr>
          <w:rFonts w:ascii="Segoe UI" w:eastAsia="Segoe UI" w:hAnsi="Segoe UI" w:cs="Segoe UI"/>
          <w:sz w:val="22"/>
          <w:szCs w:val="22"/>
        </w:rPr>
        <w:t xml:space="preserve">Academic performance of students including academic outcomes, continuation and progression will be monitored through continuous monitoring mechanisms with recourse to </w:t>
      </w:r>
      <w:proofErr w:type="spellStart"/>
      <w:r w:rsidRPr="18D3A709">
        <w:rPr>
          <w:rFonts w:ascii="Segoe UI" w:eastAsia="Segoe UI" w:hAnsi="Segoe UI" w:cs="Segoe UI"/>
          <w:sz w:val="22"/>
          <w:szCs w:val="22"/>
        </w:rPr>
        <w:t>‘Cause</w:t>
      </w:r>
      <w:proofErr w:type="spellEnd"/>
      <w:r w:rsidRPr="18D3A709">
        <w:rPr>
          <w:rFonts w:ascii="Segoe UI" w:eastAsia="Segoe UI" w:hAnsi="Segoe UI" w:cs="Segoe UI"/>
          <w:sz w:val="22"/>
          <w:szCs w:val="22"/>
        </w:rPr>
        <w:t xml:space="preserve"> for Concern’ processes should these be necessary to improve performance.</w:t>
      </w:r>
    </w:p>
    <w:p w14:paraId="50D01DA7" w14:textId="77777777" w:rsidR="006A1030" w:rsidRPr="005E4DA9" w:rsidRDefault="006A1030" w:rsidP="006A1030">
      <w:pPr>
        <w:pStyle w:val="Heading3"/>
        <w:spacing w:before="100" w:beforeAutospacing="1" w:after="100" w:afterAutospacing="1" w:line="300" w:lineRule="auto"/>
        <w:rPr>
          <w:b/>
          <w:bCs/>
        </w:rPr>
      </w:pPr>
      <w:bookmarkStart w:id="9" w:name="_Toc227336140"/>
      <w:r w:rsidRPr="18D3A709">
        <w:rPr>
          <w:b/>
          <w:bCs/>
        </w:rPr>
        <w:t>2.6 Whistleblowing and conflicts of interest in subcontracted provision</w:t>
      </w:r>
      <w:bookmarkEnd w:id="9"/>
    </w:p>
    <w:p w14:paraId="5B0E62FD" w14:textId="77777777" w:rsidR="006A1030" w:rsidRPr="005E4DA9" w:rsidRDefault="006A1030" w:rsidP="006A1030">
      <w:pPr>
        <w:pStyle w:val="NormalWeb"/>
        <w:spacing w:line="300" w:lineRule="atLeast"/>
        <w:rPr>
          <w:rFonts w:ascii="Segoe UI" w:eastAsia="Segoe UI" w:hAnsi="Segoe UI" w:cs="Segoe UI"/>
          <w:sz w:val="22"/>
          <w:szCs w:val="22"/>
        </w:rPr>
      </w:pPr>
      <w:r w:rsidRPr="005E4DA9">
        <w:rPr>
          <w:rFonts w:ascii="Segoe UI" w:eastAsiaTheme="minorEastAsia" w:hAnsi="Segoe UI" w:cs="Segoe UI"/>
          <w:sz w:val="22"/>
          <w:szCs w:val="22"/>
          <w:lang w:eastAsia="en-US"/>
        </w:rPr>
        <w:t>We maintain clear routes for the identification and escalation of serious concerns relating to subcontracted provision, including whistleblowing and conflicts of interest.</w:t>
      </w:r>
    </w:p>
    <w:p w14:paraId="51F85D26" w14:textId="77777777" w:rsidR="006A1030" w:rsidRPr="005E4DA9" w:rsidRDefault="006A1030" w:rsidP="006A1030">
      <w:pPr>
        <w:pStyle w:val="NormalWeb"/>
        <w:spacing w:line="300" w:lineRule="atLeast"/>
        <w:rPr>
          <w:rFonts w:ascii="Segoe UI" w:eastAsia="Segoe UI" w:hAnsi="Segoe UI" w:cs="Segoe UI"/>
          <w:sz w:val="22"/>
          <w:szCs w:val="22"/>
        </w:rPr>
      </w:pPr>
      <w:r w:rsidRPr="005E4DA9">
        <w:rPr>
          <w:rFonts w:ascii="Segoe UI" w:eastAsiaTheme="minorEastAsia" w:hAnsi="Segoe UI" w:cs="Segoe UI"/>
          <w:sz w:val="22"/>
          <w:szCs w:val="22"/>
          <w:lang w:eastAsia="en-US"/>
        </w:rPr>
        <w:t xml:space="preserve">Staff and students of collaborative partners are able to raise concerns relating to safeguarding, academic standards, misconduct, or improper practice through established University reporting routes, including safeguarding </w:t>
      </w:r>
      <w:proofErr w:type="spellStart"/>
      <w:r w:rsidRPr="005E4DA9">
        <w:rPr>
          <w:rFonts w:ascii="Segoe UI" w:eastAsiaTheme="minorEastAsia" w:hAnsi="Segoe UI" w:cs="Segoe UI"/>
          <w:sz w:val="22"/>
          <w:szCs w:val="22"/>
          <w:lang w:eastAsia="en-US"/>
        </w:rPr>
        <w:t>‘cause</w:t>
      </w:r>
      <w:proofErr w:type="spellEnd"/>
      <w:r w:rsidRPr="005E4DA9">
        <w:rPr>
          <w:rFonts w:ascii="Segoe UI" w:eastAsiaTheme="minorEastAsia" w:hAnsi="Segoe UI" w:cs="Segoe UI"/>
          <w:sz w:val="22"/>
          <w:szCs w:val="22"/>
          <w:lang w:eastAsia="en-US"/>
        </w:rPr>
        <w:t xml:space="preserve"> for concern’ mechanisms and escalation via Academic Liaison Tutors or University professional services. Concerns raised through these routes are investigated in accordance with University procedures and may trigger enhanced monitoring, a formal Cause for Concern review, or escalation to senior academic governance where appropriate.</w:t>
      </w:r>
    </w:p>
    <w:p w14:paraId="401A6175" w14:textId="77777777" w:rsidR="006A1030" w:rsidRPr="005E4DA9" w:rsidRDefault="006A1030" w:rsidP="006A1030">
      <w:pPr>
        <w:pStyle w:val="NormalWeb"/>
        <w:spacing w:line="300" w:lineRule="atLeast"/>
        <w:rPr>
          <w:rFonts w:ascii="Segoe UI" w:eastAsia="Segoe UI" w:hAnsi="Segoe UI" w:cs="Segoe UI"/>
          <w:sz w:val="22"/>
          <w:szCs w:val="22"/>
        </w:rPr>
      </w:pPr>
      <w:r w:rsidRPr="005E4DA9">
        <w:rPr>
          <w:rFonts w:ascii="Segoe UI" w:eastAsiaTheme="minorEastAsia" w:hAnsi="Segoe UI" w:cs="Segoe UI"/>
          <w:sz w:val="22"/>
          <w:szCs w:val="22"/>
          <w:lang w:eastAsia="en-US"/>
        </w:rPr>
        <w:t>Conflicts of interest are identified, declared and managed for all decisions relating to collaborative provision, including partner selection, due diligence, course approval, monitoring, review and exit decisions. Individuals participating in approval panels, monitoring activity or decision‑making bodies are required to declare relevant interests, and appropriate mitigation (including recusal) is applied to ensure objective and transparent decision‑making.</w:t>
      </w:r>
    </w:p>
    <w:p w14:paraId="4F19997F" w14:textId="77777777" w:rsidR="006A1030" w:rsidRPr="005E4DA9" w:rsidRDefault="006A1030" w:rsidP="006A1030">
      <w:pPr>
        <w:pStyle w:val="NormalWeb"/>
        <w:spacing w:line="300" w:lineRule="atLeast"/>
        <w:rPr>
          <w:rFonts w:ascii="Segoe UI" w:eastAsia="Segoe UI" w:hAnsi="Segoe UI" w:cs="Segoe UI"/>
          <w:sz w:val="22"/>
          <w:szCs w:val="22"/>
        </w:rPr>
      </w:pPr>
      <w:r w:rsidRPr="005E4DA9">
        <w:rPr>
          <w:rFonts w:ascii="Segoe UI" w:eastAsiaTheme="minorEastAsia" w:hAnsi="Segoe UI" w:cs="Segoe UI"/>
          <w:sz w:val="22"/>
          <w:szCs w:val="22"/>
          <w:lang w:eastAsia="en-US"/>
        </w:rPr>
        <w:t>These arrangements ensure that material risks arising from subcontracted activity can be surfaced and addressed promptly, independently and proportionately.</w:t>
      </w:r>
    </w:p>
    <w:p w14:paraId="24228EBB" w14:textId="77777777" w:rsidR="006A1030" w:rsidRPr="002A6C03" w:rsidRDefault="006A1030" w:rsidP="006A1030">
      <w:pPr>
        <w:pStyle w:val="Heading3"/>
        <w:spacing w:before="100" w:beforeAutospacing="1" w:after="100" w:afterAutospacing="1" w:line="300" w:lineRule="auto"/>
        <w:rPr>
          <w:b/>
          <w:bCs/>
        </w:rPr>
      </w:pPr>
      <w:bookmarkStart w:id="10" w:name="_Toc227336141"/>
      <w:r w:rsidRPr="18D3A709">
        <w:rPr>
          <w:b/>
          <w:bCs/>
        </w:rPr>
        <w:t>2.7 Adaptability</w:t>
      </w:r>
      <w:bookmarkEnd w:id="10"/>
    </w:p>
    <w:p w14:paraId="5CCA5D7F" w14:textId="77777777" w:rsidR="006A1030" w:rsidRDefault="006A1030" w:rsidP="006A1030">
      <w:pPr>
        <w:spacing w:before="100" w:beforeAutospacing="1" w:after="100" w:afterAutospacing="1" w:line="300" w:lineRule="auto"/>
        <w:rPr>
          <w:rFonts w:ascii="Segoe UI" w:eastAsia="Segoe UI" w:hAnsi="Segoe UI" w:cs="Segoe UI"/>
          <w:sz w:val="22"/>
          <w:szCs w:val="22"/>
        </w:rPr>
      </w:pPr>
      <w:r w:rsidRPr="002A6C03">
        <w:rPr>
          <w:rFonts w:ascii="Segoe UI" w:eastAsia="Segoe UI" w:hAnsi="Segoe UI" w:cs="Segoe UI"/>
          <w:sz w:val="22"/>
          <w:szCs w:val="22"/>
        </w:rPr>
        <w:t xml:space="preserve">The </w:t>
      </w:r>
      <w:r>
        <w:rPr>
          <w:rFonts w:ascii="Segoe UI" w:eastAsia="Segoe UI" w:hAnsi="Segoe UI" w:cs="Segoe UI"/>
          <w:sz w:val="22"/>
          <w:szCs w:val="22"/>
        </w:rPr>
        <w:t>PLC</w:t>
      </w:r>
      <w:r w:rsidRPr="002A6C03">
        <w:rPr>
          <w:rFonts w:ascii="Segoe UI" w:eastAsia="Segoe UI" w:hAnsi="Segoe UI" w:cs="Segoe UI"/>
          <w:sz w:val="22"/>
          <w:szCs w:val="22"/>
        </w:rPr>
        <w:t xml:space="preserve"> includes controlled processes for location changes, additional sites, additional cohorts, additional courses, staffing changes, and course modifications; Repeat Due Diligence risk‑rates partners and adjusts oversight accordingly; Partner Review and Periodic Course Review provide further assurance that arrangements remain fit for purpose. (PLC §15–§21; POM §27)</w:t>
      </w:r>
    </w:p>
    <w:p w14:paraId="5A71A880" w14:textId="77777777" w:rsidR="006A1030" w:rsidRDefault="006A1030" w:rsidP="006A1030">
      <w:pPr>
        <w:pStyle w:val="Heading2"/>
        <w:spacing w:before="100" w:beforeAutospacing="1" w:after="100" w:afterAutospacing="1" w:line="300" w:lineRule="auto"/>
        <w:rPr>
          <w:rFonts w:ascii="Segoe UI" w:eastAsia="Segoe UI" w:hAnsi="Segoe UI" w:cs="Segoe UI"/>
          <w:b/>
          <w:bCs/>
          <w:sz w:val="36"/>
          <w:szCs w:val="36"/>
        </w:rPr>
      </w:pPr>
      <w:bookmarkStart w:id="11" w:name="_Toc227336142"/>
      <w:r w:rsidRPr="18D3A709">
        <w:rPr>
          <w:rFonts w:ascii="Segoe UI" w:eastAsia="Segoe UI" w:hAnsi="Segoe UI" w:cs="Segoe UI"/>
          <w:b/>
          <w:bCs/>
        </w:rPr>
        <w:t>3) Operating in accordance with our SIS (assurance of practice)</w:t>
      </w:r>
      <w:bookmarkEnd w:id="11"/>
    </w:p>
    <w:p w14:paraId="555A2EC2" w14:textId="77777777" w:rsidR="006A1030" w:rsidRPr="005E4DA9" w:rsidRDefault="006A1030" w:rsidP="006A1030">
      <w:pPr>
        <w:pStyle w:val="Heading3"/>
        <w:spacing w:before="100" w:beforeAutospacing="1" w:after="100" w:afterAutospacing="1" w:line="300" w:lineRule="auto"/>
        <w:rPr>
          <w:b/>
          <w:bCs/>
        </w:rPr>
      </w:pPr>
      <w:bookmarkStart w:id="12" w:name="_Toc227336143"/>
      <w:r w:rsidRPr="005E4DA9">
        <w:rPr>
          <w:b/>
          <w:bCs/>
        </w:rPr>
        <w:t>3.1 Contract enablement and sequencing</w:t>
      </w:r>
      <w:bookmarkEnd w:id="12"/>
    </w:p>
    <w:p w14:paraId="7FC0B6C4" w14:textId="77777777" w:rsidR="006A1030" w:rsidRPr="00D9563A" w:rsidRDefault="006A1030" w:rsidP="006A1030">
      <w:pPr>
        <w:spacing w:before="100" w:beforeAutospacing="1" w:after="100" w:afterAutospacing="1" w:line="300" w:lineRule="auto"/>
        <w:rPr>
          <w:rFonts w:ascii="Segoe UI" w:eastAsia="Segoe UI" w:hAnsi="Segoe UI" w:cs="Segoe UI"/>
          <w:color w:val="464FEB"/>
          <w:sz w:val="22"/>
          <w:szCs w:val="22"/>
        </w:rPr>
      </w:pPr>
      <w:r w:rsidRPr="3ED5736A">
        <w:rPr>
          <w:rFonts w:ascii="Segoe UI" w:eastAsia="Segoe UI" w:hAnsi="Segoe UI" w:cs="Segoe UI"/>
          <w:sz w:val="22"/>
          <w:szCs w:val="22"/>
        </w:rPr>
        <w:t xml:space="preserve">We do not commence </w:t>
      </w:r>
      <w:r w:rsidRPr="00D9563A">
        <w:rPr>
          <w:rFonts w:ascii="Segoe UI" w:eastAsia="Segoe UI" w:hAnsi="Segoe UI" w:cs="Segoe UI"/>
          <w:sz w:val="22"/>
          <w:szCs w:val="22"/>
        </w:rPr>
        <w:t>delivery until contracts are fully executed (IMoA + CLA). Contract sequencing is aligned so that arrangements can operate in practice according to the University’s procedures summarised in the SIS. (PLC §10.1–§10.7)</w:t>
      </w:r>
    </w:p>
    <w:p w14:paraId="1F308BCB" w14:textId="77777777" w:rsidR="006A1030" w:rsidRDefault="006A1030" w:rsidP="006A1030">
      <w:pPr>
        <w:spacing w:before="100" w:beforeAutospacing="1" w:after="100" w:afterAutospacing="1" w:line="300" w:lineRule="auto"/>
        <w:rPr>
          <w:rFonts w:ascii="Segoe UI" w:eastAsia="Segoe UI" w:hAnsi="Segoe UI" w:cs="Segoe UI"/>
          <w:sz w:val="22"/>
          <w:szCs w:val="22"/>
        </w:rPr>
      </w:pPr>
      <w:r w:rsidRPr="18D3A709">
        <w:rPr>
          <w:rFonts w:ascii="Segoe UI" w:eastAsia="Segoe UI" w:hAnsi="Segoe UI" w:cs="Segoe UI"/>
          <w:sz w:val="22"/>
          <w:szCs w:val="22"/>
        </w:rPr>
        <w:t>For new and varied contracts, terms will enable operation in accordance with the SIS. For existing contracts, London Met will take all reasonable steps to amend terms accordingly; if, after exhausting those steps, operation in line with the SIS is not possible, we will submit a reportable event and mitigate risks while resolving the issue.</w:t>
      </w:r>
    </w:p>
    <w:p w14:paraId="246FB7B3" w14:textId="77777777" w:rsidR="006A1030" w:rsidRPr="0005586B" w:rsidRDefault="006A1030" w:rsidP="006A1030">
      <w:pPr>
        <w:spacing w:before="100" w:beforeAutospacing="1" w:after="100" w:afterAutospacing="1" w:line="300" w:lineRule="auto"/>
        <w:rPr>
          <w:rFonts w:ascii="Segoe UI" w:eastAsia="Segoe UI" w:hAnsi="Segoe UI" w:cs="Segoe UI"/>
          <w:sz w:val="22"/>
          <w:szCs w:val="22"/>
        </w:rPr>
      </w:pPr>
      <w:r w:rsidRPr="18D3A709">
        <w:rPr>
          <w:rFonts w:ascii="Segoe UI" w:eastAsia="Segoe UI" w:hAnsi="Segoe UI" w:cs="Segoe UI"/>
          <w:sz w:val="22"/>
          <w:szCs w:val="22"/>
        </w:rPr>
        <w:t>We assure ourselves that subcontracted provision operates in accordance with this Subcontracting Information Source through aligned contractual terms, defined roles and responsibilities, routine monitoring and reporting, and targeted audit and review activity. Where gaps between documented arrangements and operational practice are identified, we take corrective action, which may include contractual amendment, enhanced oversight, or escalation through governance and regulatory reporting routes as appropriate.</w:t>
      </w:r>
    </w:p>
    <w:p w14:paraId="6CE71668" w14:textId="77777777" w:rsidR="006A1030" w:rsidRPr="005E4DA9" w:rsidRDefault="006A1030" w:rsidP="006A1030">
      <w:pPr>
        <w:pStyle w:val="Heading3"/>
        <w:spacing w:before="100" w:beforeAutospacing="1" w:after="100" w:afterAutospacing="1" w:line="300" w:lineRule="auto"/>
        <w:rPr>
          <w:b/>
          <w:bCs/>
        </w:rPr>
      </w:pPr>
      <w:bookmarkStart w:id="13" w:name="_Toc227336144"/>
      <w:r w:rsidRPr="005E4DA9">
        <w:rPr>
          <w:b/>
          <w:bCs/>
        </w:rPr>
        <w:t>3.2 Capacity and resources</w:t>
      </w:r>
      <w:bookmarkEnd w:id="13"/>
    </w:p>
    <w:p w14:paraId="78537F73" w14:textId="77777777" w:rsidR="006A1030" w:rsidRDefault="006A1030" w:rsidP="006A1030">
      <w:pPr>
        <w:spacing w:before="100" w:beforeAutospacing="1" w:after="100" w:afterAutospacing="1" w:line="300" w:lineRule="auto"/>
        <w:rPr>
          <w:rFonts w:ascii="Segoe UI" w:eastAsia="Segoe UI" w:hAnsi="Segoe UI" w:cs="Segoe UI"/>
          <w:sz w:val="22"/>
          <w:szCs w:val="22"/>
        </w:rPr>
      </w:pPr>
      <w:r>
        <w:rPr>
          <w:rFonts w:ascii="Segoe UI" w:eastAsia="Segoe UI" w:hAnsi="Segoe UI" w:cs="Segoe UI"/>
          <w:sz w:val="22"/>
          <w:szCs w:val="22"/>
        </w:rPr>
        <w:t>The process of due diligence, submission of a business case, a site visit and the partner course approval process are all designed to invite information relating to the collaborative partner’s capacity and available and / or planned resourcing to deliver and maintain delivery of a franchised course. Where there is not sufficient information or evidence to support the delivery of a course, approval may be withheld until such a time as the partner is able to demonstrate they have the ability to resource the teaching and learning appropriately. Resourcing covers both staffing resources as well as required resources which may include teaching and study space, specific and or specialist hardware and software, independent study resources such as a library / e-library, access to support services and other resources conducive to a positive student experience.</w:t>
      </w:r>
    </w:p>
    <w:p w14:paraId="364D5FBB" w14:textId="77777777" w:rsidR="006A1030" w:rsidRDefault="006A1030" w:rsidP="006A1030">
      <w:pPr>
        <w:spacing w:before="100" w:beforeAutospacing="1" w:after="100" w:afterAutospacing="1" w:line="300" w:lineRule="auto"/>
        <w:rPr>
          <w:rFonts w:ascii="Segoe UI" w:eastAsia="Segoe UI" w:hAnsi="Segoe UI" w:cs="Segoe UI"/>
          <w:sz w:val="22"/>
          <w:szCs w:val="22"/>
        </w:rPr>
      </w:pPr>
      <w:r w:rsidRPr="18D3A709">
        <w:rPr>
          <w:rFonts w:ascii="Segoe UI" w:eastAsia="Segoe UI" w:hAnsi="Segoe UI" w:cs="Segoe UI"/>
          <w:sz w:val="22"/>
          <w:szCs w:val="22"/>
        </w:rPr>
        <w:t>Roles and responsibilities are defined and deployed proportionately to the scale/complexity of the subcontracted activity: AQD, Schools (including Academic Liaison Tutors and Heads of Collaborative Partnerships), the Partnerships Office, Student Records/Assessments, and enabling services (Library/IT/Student Services/Marketing/Finance). Access control (e.g., ARMs accounts) and workload expectations are set out for effective operation. (POM §27; Appendix 3; §19.4)</w:t>
      </w:r>
    </w:p>
    <w:p w14:paraId="515E53A3" w14:textId="77777777" w:rsidR="006A1030" w:rsidRPr="005E4DA9" w:rsidRDefault="006A1030" w:rsidP="006A1030">
      <w:pPr>
        <w:pStyle w:val="Heading3"/>
        <w:spacing w:before="100" w:beforeAutospacing="1" w:after="100" w:afterAutospacing="1" w:line="300" w:lineRule="auto"/>
        <w:rPr>
          <w:b/>
          <w:bCs/>
        </w:rPr>
      </w:pPr>
      <w:bookmarkStart w:id="14" w:name="_Toc227336145"/>
      <w:r w:rsidRPr="005E4DA9">
        <w:rPr>
          <w:b/>
          <w:bCs/>
        </w:rPr>
        <w:t>3.3 Evidence of operation (available on request)</w:t>
      </w:r>
      <w:bookmarkEnd w:id="14"/>
    </w:p>
    <w:p w14:paraId="2ABB71BA" w14:textId="77777777" w:rsidR="006A1030" w:rsidRPr="00D9563A" w:rsidRDefault="006A1030" w:rsidP="006A1030">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2"/>
          <w:szCs w:val="22"/>
        </w:rPr>
        <w:t xml:space="preserve">We acknowledge that </w:t>
      </w:r>
      <w:proofErr w:type="spellStart"/>
      <w:r w:rsidRPr="3ED5736A">
        <w:rPr>
          <w:rFonts w:ascii="Segoe UI" w:eastAsia="Segoe UI" w:hAnsi="Segoe UI" w:cs="Segoe UI"/>
          <w:sz w:val="22"/>
          <w:szCs w:val="22"/>
        </w:rPr>
        <w:t>OfS</w:t>
      </w:r>
      <w:proofErr w:type="spellEnd"/>
      <w:r w:rsidRPr="3ED5736A">
        <w:rPr>
          <w:rFonts w:ascii="Segoe UI" w:eastAsia="Segoe UI" w:hAnsi="Segoe UI" w:cs="Segoe UI"/>
          <w:sz w:val="22"/>
          <w:szCs w:val="22"/>
        </w:rPr>
        <w:t xml:space="preserve"> may draw on complaints, whistleblowing and reportable events, quality assessments, data audits and investigations, and provider‑submitted data when assessing compliance, and that </w:t>
      </w:r>
      <w:proofErr w:type="spellStart"/>
      <w:r w:rsidRPr="3ED5736A">
        <w:rPr>
          <w:rFonts w:ascii="Segoe UI" w:eastAsia="Segoe UI" w:hAnsi="Segoe UI" w:cs="Segoe UI"/>
          <w:sz w:val="22"/>
          <w:szCs w:val="22"/>
        </w:rPr>
        <w:t>OfS</w:t>
      </w:r>
      <w:proofErr w:type="spellEnd"/>
      <w:r w:rsidRPr="3ED5736A">
        <w:rPr>
          <w:rFonts w:ascii="Segoe UI" w:eastAsia="Segoe UI" w:hAnsi="Segoe UI" w:cs="Segoe UI"/>
          <w:sz w:val="22"/>
          <w:szCs w:val="22"/>
        </w:rPr>
        <w:t xml:space="preserve"> may determine breach based on the overarching </w:t>
      </w:r>
      <w:r w:rsidRPr="00D9563A">
        <w:rPr>
          <w:rFonts w:ascii="Segoe UI" w:eastAsia="Segoe UI" w:hAnsi="Segoe UI" w:cs="Segoe UI"/>
          <w:sz w:val="22"/>
          <w:szCs w:val="22"/>
        </w:rPr>
        <w:t>obligation even where detailed arrangements appear to be in place.</w:t>
      </w:r>
    </w:p>
    <w:p w14:paraId="7406BA6B" w14:textId="77777777" w:rsidR="006A1030" w:rsidRDefault="006A1030" w:rsidP="006A1030">
      <w:pPr>
        <w:spacing w:before="100" w:beforeAutospacing="1" w:after="100" w:afterAutospacing="1" w:line="300" w:lineRule="auto"/>
        <w:rPr>
          <w:rFonts w:ascii="Segoe UI" w:eastAsia="Segoe UI" w:hAnsi="Segoe UI" w:cs="Segoe UI"/>
          <w:sz w:val="22"/>
          <w:szCs w:val="22"/>
        </w:rPr>
      </w:pPr>
      <w:r w:rsidRPr="18D3A709">
        <w:rPr>
          <w:rFonts w:ascii="Segoe UI" w:eastAsia="Segoe UI" w:hAnsi="Segoe UI" w:cs="Segoe UI"/>
          <w:sz w:val="22"/>
          <w:szCs w:val="22"/>
        </w:rPr>
        <w:t xml:space="preserve">We maintain and review evidence of the operation of subcontracted provision on a routine basis, proportionate to the scale and risk profile of each arrangement. Evidence is reviewed at appropriate points within the academic governance cycle and informs decisions on continuation, enhancement of oversight, or intervention. </w:t>
      </w:r>
    </w:p>
    <w:p w14:paraId="412A9082" w14:textId="77777777" w:rsidR="006A1030" w:rsidRDefault="006A1030" w:rsidP="006A1030">
      <w:pPr>
        <w:spacing w:before="100" w:beforeAutospacing="1" w:after="100" w:afterAutospacing="1" w:line="300" w:lineRule="auto"/>
        <w:rPr>
          <w:rFonts w:ascii="Segoe UI" w:eastAsia="Segoe UI" w:hAnsi="Segoe UI" w:cs="Segoe UI"/>
          <w:sz w:val="22"/>
          <w:szCs w:val="22"/>
        </w:rPr>
      </w:pPr>
      <w:r w:rsidRPr="18D3A709">
        <w:rPr>
          <w:rFonts w:ascii="Segoe UI" w:eastAsia="Segoe UI" w:hAnsi="Segoe UI" w:cs="Segoe UI"/>
          <w:sz w:val="22"/>
          <w:szCs w:val="22"/>
        </w:rPr>
        <w:t>We can evidence day‑to‑day operation through but not limited to: ALT visit reports and site/resource verification; attendance monitoring visit records; External Examiner reports and correspondence; assessment‑board records; course‑committee minutes; continuous‑monitoring submissions and action plans; partner‑review documentation; repeat due diligence outputs and risk ratings; and change‑control approvals. (PLC §8.6–§8.11; §13–§17; §19–§21; POM §10.10.5–§10.10.6; §14; §15–§16; §21; §31).</w:t>
      </w:r>
    </w:p>
    <w:p w14:paraId="18F6ABF6" w14:textId="77777777" w:rsidR="006A1030" w:rsidRPr="00E63918" w:rsidRDefault="006A1030" w:rsidP="006A1030">
      <w:pPr>
        <w:spacing w:before="100" w:beforeAutospacing="1" w:after="100" w:afterAutospacing="1" w:line="300" w:lineRule="auto"/>
        <w:rPr>
          <w:rFonts w:ascii="Segoe UI" w:eastAsia="Segoe UI" w:hAnsi="Segoe UI" w:cs="Segoe UI"/>
          <w:sz w:val="22"/>
          <w:szCs w:val="22"/>
        </w:rPr>
      </w:pPr>
      <w:r w:rsidRPr="18D3A709">
        <w:rPr>
          <w:rFonts w:ascii="Segoe UI" w:eastAsia="Segoe UI" w:hAnsi="Segoe UI" w:cs="Segoe UI"/>
          <w:sz w:val="22"/>
          <w:szCs w:val="22"/>
        </w:rPr>
        <w:t>The evidence is reviewed at School level and through central oversight functions, with summaries and identified risks reported to the Collaborative Partnerships Committee and where required, escalated through Academic Board and to the Governing body. Material concerns relating to academic standards, student experience, integrity of admissions or protection of public funding are escalated through the Cause for Concern / High</w:t>
      </w:r>
      <w:r>
        <w:noBreakHyphen/>
      </w:r>
      <w:r w:rsidRPr="18D3A709">
        <w:rPr>
          <w:rFonts w:ascii="Segoe UI" w:eastAsia="Segoe UI" w:hAnsi="Segoe UI" w:cs="Segoe UI"/>
          <w:sz w:val="22"/>
          <w:szCs w:val="22"/>
        </w:rPr>
        <w:t>Risk Partner process and managed in accordance with University procedures.</w:t>
      </w:r>
    </w:p>
    <w:p w14:paraId="4A2FC2F3" w14:textId="77777777" w:rsidR="006A1030" w:rsidRDefault="006A1030" w:rsidP="006A1030">
      <w:pPr>
        <w:pStyle w:val="Heading2"/>
        <w:spacing w:before="100" w:beforeAutospacing="1" w:after="100" w:afterAutospacing="1" w:line="300" w:lineRule="auto"/>
        <w:rPr>
          <w:rFonts w:ascii="Segoe UI" w:eastAsia="Segoe UI" w:hAnsi="Segoe UI" w:cs="Segoe UI"/>
          <w:b/>
          <w:bCs/>
          <w:sz w:val="36"/>
          <w:szCs w:val="36"/>
        </w:rPr>
      </w:pPr>
      <w:bookmarkStart w:id="15" w:name="_Toc227336146"/>
      <w:r w:rsidRPr="18D3A709">
        <w:rPr>
          <w:rFonts w:ascii="Segoe UI" w:eastAsia="Segoe UI" w:hAnsi="Segoe UI" w:cs="Segoe UI"/>
          <w:b/>
          <w:bCs/>
        </w:rPr>
        <w:t>4) Readiness, transparency and maintenance</w:t>
      </w:r>
      <w:bookmarkEnd w:id="15"/>
    </w:p>
    <w:p w14:paraId="2556C22A" w14:textId="77777777" w:rsidR="006A1030" w:rsidRPr="00D9563A" w:rsidRDefault="006A1030" w:rsidP="006A1030">
      <w:pPr>
        <w:pStyle w:val="ListParagraph"/>
        <w:numPr>
          <w:ilvl w:val="0"/>
          <w:numId w:val="2"/>
        </w:numPr>
        <w:spacing w:before="100" w:beforeAutospacing="1" w:after="100" w:afterAutospacing="1" w:line="300" w:lineRule="auto"/>
        <w:rPr>
          <w:rFonts w:ascii="Segoe UI" w:eastAsia="Segoe UI" w:hAnsi="Segoe UI" w:cs="Segoe UI"/>
          <w:sz w:val="22"/>
          <w:szCs w:val="22"/>
        </w:rPr>
      </w:pPr>
      <w:r w:rsidRPr="00D9563A">
        <w:rPr>
          <w:rFonts w:ascii="Segoe UI" w:eastAsia="Segoe UI" w:hAnsi="Segoe UI" w:cs="Segoe UI"/>
          <w:sz w:val="22"/>
          <w:szCs w:val="22"/>
        </w:rPr>
        <w:t>Readiness: Our SIS (summary and signpost format) is in place and will be maintained and implemented throughout the relevant period.</w:t>
      </w:r>
    </w:p>
    <w:p w14:paraId="0C638F97" w14:textId="77777777" w:rsidR="006A1030" w:rsidRPr="00D9563A" w:rsidRDefault="006A1030" w:rsidP="006A1030">
      <w:pPr>
        <w:pStyle w:val="ListParagraph"/>
        <w:numPr>
          <w:ilvl w:val="0"/>
          <w:numId w:val="2"/>
        </w:numPr>
        <w:spacing w:before="100" w:beforeAutospacing="1" w:after="100" w:afterAutospacing="1" w:line="300" w:lineRule="auto"/>
        <w:rPr>
          <w:rFonts w:ascii="Segoe UI" w:eastAsia="Segoe UI" w:hAnsi="Segoe UI" w:cs="Segoe UI"/>
          <w:sz w:val="22"/>
          <w:szCs w:val="22"/>
        </w:rPr>
      </w:pPr>
      <w:r w:rsidRPr="00D9563A">
        <w:rPr>
          <w:rFonts w:ascii="Segoe UI" w:eastAsia="Segoe UI" w:hAnsi="Segoe UI" w:cs="Segoe UI"/>
          <w:sz w:val="22"/>
          <w:szCs w:val="22"/>
        </w:rPr>
        <w:t>Transparency: We will publish any required transparency information for subcontracted provision (e.g., strategic rationale and fee‑retention proportion) and provide the URL on request.</w:t>
      </w:r>
    </w:p>
    <w:p w14:paraId="62884E86" w14:textId="77777777" w:rsidR="006A1030" w:rsidRPr="00D9563A" w:rsidRDefault="006A1030" w:rsidP="006A1030">
      <w:pPr>
        <w:pStyle w:val="ListParagraph"/>
        <w:numPr>
          <w:ilvl w:val="0"/>
          <w:numId w:val="2"/>
        </w:numPr>
        <w:spacing w:before="100" w:beforeAutospacing="1" w:after="100" w:afterAutospacing="1" w:line="300" w:lineRule="auto"/>
        <w:rPr>
          <w:rFonts w:ascii="Segoe UI" w:eastAsia="Segoe UI" w:hAnsi="Segoe UI" w:cs="Segoe UI"/>
          <w:sz w:val="22"/>
          <w:szCs w:val="22"/>
        </w:rPr>
      </w:pPr>
      <w:r w:rsidRPr="18D3A709">
        <w:rPr>
          <w:rFonts w:ascii="Segoe UI" w:eastAsia="Segoe UI" w:hAnsi="Segoe UI" w:cs="Segoe UI"/>
          <w:sz w:val="22"/>
          <w:szCs w:val="22"/>
        </w:rPr>
        <w:t xml:space="preserve">Maintenance: AQD and the Partnerships Office will coordinate annual updates; the SIS will be kept current, and all historical versions will be retained for at least five years; we will provide the SIS to </w:t>
      </w:r>
      <w:proofErr w:type="spellStart"/>
      <w:r w:rsidRPr="18D3A709">
        <w:rPr>
          <w:rFonts w:ascii="Segoe UI" w:eastAsia="Segoe UI" w:hAnsi="Segoe UI" w:cs="Segoe UI"/>
          <w:sz w:val="22"/>
          <w:szCs w:val="22"/>
        </w:rPr>
        <w:t>OfS</w:t>
      </w:r>
      <w:proofErr w:type="spellEnd"/>
      <w:r w:rsidRPr="18D3A709">
        <w:rPr>
          <w:rFonts w:ascii="Segoe UI" w:eastAsia="Segoe UI" w:hAnsi="Segoe UI" w:cs="Segoe UI"/>
          <w:sz w:val="22"/>
          <w:szCs w:val="22"/>
        </w:rPr>
        <w:t xml:space="preserve"> on request.</w:t>
      </w:r>
    </w:p>
    <w:p w14:paraId="22394D23" w14:textId="77777777" w:rsidR="006A1030" w:rsidRDefault="006A1030" w:rsidP="006A1030">
      <w:pPr>
        <w:spacing w:before="100" w:beforeAutospacing="1" w:after="100" w:afterAutospacing="1" w:line="300" w:lineRule="auto"/>
        <w:rPr>
          <w:rFonts w:ascii="Segoe UI" w:eastAsia="Segoe UI" w:hAnsi="Segoe UI" w:cs="Segoe UI"/>
          <w:b/>
          <w:bCs/>
          <w:sz w:val="36"/>
          <w:szCs w:val="36"/>
        </w:rPr>
      </w:pPr>
      <w:r w:rsidRPr="3ED5736A">
        <w:rPr>
          <w:rFonts w:ascii="Segoe UI" w:eastAsia="Segoe UI" w:hAnsi="Segoe UI" w:cs="Segoe UI"/>
        </w:rPr>
        <w:br w:type="page"/>
      </w:r>
      <w:r w:rsidRPr="005E4DA9">
        <w:rPr>
          <w:rFonts w:ascii="Segoe UI" w:eastAsia="Segoe UI" w:hAnsi="Segoe UI" w:cs="Segoe UI"/>
          <w:b/>
          <w:bCs/>
          <w:color w:val="0F4761" w:themeColor="accent1" w:themeShade="BF"/>
          <w:sz w:val="32"/>
          <w:szCs w:val="32"/>
        </w:rPr>
        <w:t>Annex A — Minimum‑content compliance mapping</w:t>
      </w:r>
      <w:r w:rsidRPr="18D3A709">
        <w:rPr>
          <w:rFonts w:ascii="Segoe UI" w:eastAsia="Segoe UI" w:hAnsi="Segoe UI" w:cs="Segoe UI"/>
          <w:b/>
          <w:bCs/>
        </w:rPr>
        <w:t xml:space="preserve"> </w:t>
      </w:r>
    </w:p>
    <w:p w14:paraId="0B51051F" w14:textId="77777777" w:rsidR="006A1030" w:rsidRDefault="006A1030" w:rsidP="006A1030">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2"/>
          <w:szCs w:val="22"/>
        </w:rPr>
        <w:t xml:space="preserve">Column 2 points to the relevant section in this response; Column 3 points to the exact </w:t>
      </w:r>
      <w:r w:rsidRPr="3ED5736A">
        <w:rPr>
          <w:rFonts w:ascii="Segoe UI" w:eastAsia="Segoe UI" w:hAnsi="Segoe UI" w:cs="Segoe UI"/>
          <w:b/>
          <w:bCs/>
          <w:sz w:val="22"/>
          <w:szCs w:val="22"/>
        </w:rPr>
        <w:t>University</w:t>
      </w:r>
      <w:r w:rsidRPr="3ED5736A">
        <w:rPr>
          <w:rFonts w:ascii="Segoe UI" w:eastAsia="Segoe UI" w:hAnsi="Segoe UI" w:cs="Segoe UI"/>
          <w:sz w:val="22"/>
          <w:szCs w:val="22"/>
        </w:rPr>
        <w:t xml:space="preserve"> document headings (POM/PLC) holding the operational detail.</w:t>
      </w:r>
    </w:p>
    <w:tbl>
      <w:tblPr>
        <w:tblW w:w="0" w:type="auto"/>
        <w:tblLook w:val="06A0" w:firstRow="1" w:lastRow="0" w:firstColumn="1" w:lastColumn="0" w:noHBand="1" w:noVBand="1"/>
      </w:tblPr>
      <w:tblGrid>
        <w:gridCol w:w="2866"/>
        <w:gridCol w:w="1463"/>
        <w:gridCol w:w="4681"/>
      </w:tblGrid>
      <w:tr w:rsidR="006A1030" w14:paraId="6A87DABC" w14:textId="77777777" w:rsidTr="00D86083">
        <w:trPr>
          <w:trHeight w:val="300"/>
        </w:trPr>
        <w:tc>
          <w:tcPr>
            <w:tcW w:w="2880" w:type="dxa"/>
            <w:tcBorders>
              <w:top w:val="single" w:sz="6" w:space="0" w:color="E6E6E6"/>
              <w:left w:val="single" w:sz="6" w:space="0" w:color="E6E6E6"/>
              <w:bottom w:val="single" w:sz="6" w:space="0" w:color="E6E6E6"/>
              <w:right w:val="single" w:sz="6" w:space="0" w:color="E6E6E6"/>
            </w:tcBorders>
            <w:shd w:val="clear" w:color="auto" w:fill="A5C9EB" w:themeFill="text2" w:themeFillTint="40"/>
            <w:vAlign w:val="center"/>
          </w:tcPr>
          <w:p w14:paraId="3E3E1BBA" w14:textId="77777777" w:rsidR="006A1030" w:rsidRDefault="006A1030" w:rsidP="00D86083">
            <w:pPr>
              <w:spacing w:before="100" w:beforeAutospacing="1" w:after="100" w:afterAutospacing="1" w:line="300" w:lineRule="auto"/>
              <w:jc w:val="center"/>
              <w:rPr>
                <w:rFonts w:ascii="Segoe UI" w:eastAsia="Segoe UI" w:hAnsi="Segoe UI" w:cs="Segoe UI"/>
                <w:b/>
                <w:bCs/>
                <w:sz w:val="22"/>
                <w:szCs w:val="22"/>
              </w:rPr>
            </w:pPr>
            <w:proofErr w:type="spellStart"/>
            <w:r w:rsidRPr="3ED5736A">
              <w:rPr>
                <w:rFonts w:ascii="Segoe UI" w:eastAsia="Segoe UI" w:hAnsi="Segoe UI" w:cs="Segoe UI"/>
                <w:b/>
                <w:bCs/>
                <w:sz w:val="20"/>
                <w:szCs w:val="20"/>
              </w:rPr>
              <w:t>OfS</w:t>
            </w:r>
            <w:proofErr w:type="spellEnd"/>
            <w:r w:rsidRPr="3ED5736A">
              <w:rPr>
                <w:rFonts w:ascii="Segoe UI" w:eastAsia="Segoe UI" w:hAnsi="Segoe UI" w:cs="Segoe UI"/>
                <w:b/>
                <w:bCs/>
                <w:sz w:val="20"/>
                <w:szCs w:val="20"/>
              </w:rPr>
              <w:t xml:space="preserve"> minimum content area</w:t>
            </w:r>
          </w:p>
        </w:tc>
        <w:tc>
          <w:tcPr>
            <w:tcW w:w="1470" w:type="dxa"/>
            <w:tcBorders>
              <w:top w:val="single" w:sz="6" w:space="0" w:color="E6E6E6"/>
              <w:left w:val="single" w:sz="6" w:space="0" w:color="E6E6E6"/>
              <w:bottom w:val="single" w:sz="6" w:space="0" w:color="E6E6E6"/>
              <w:right w:val="single" w:sz="6" w:space="0" w:color="E6E6E6"/>
            </w:tcBorders>
            <w:shd w:val="clear" w:color="auto" w:fill="A5C9EB" w:themeFill="text2" w:themeFillTint="40"/>
            <w:vAlign w:val="center"/>
          </w:tcPr>
          <w:p w14:paraId="6FBA8183" w14:textId="77777777" w:rsidR="006A1030" w:rsidRDefault="006A1030" w:rsidP="00D86083">
            <w:pPr>
              <w:spacing w:before="100" w:beforeAutospacing="1" w:after="100" w:afterAutospacing="1" w:line="300" w:lineRule="auto"/>
              <w:jc w:val="center"/>
              <w:rPr>
                <w:rFonts w:ascii="Segoe UI" w:eastAsia="Segoe UI" w:hAnsi="Segoe UI" w:cs="Segoe UI"/>
                <w:b/>
                <w:bCs/>
                <w:sz w:val="22"/>
                <w:szCs w:val="22"/>
              </w:rPr>
            </w:pPr>
            <w:r w:rsidRPr="3ED5736A">
              <w:rPr>
                <w:rFonts w:ascii="Segoe UI" w:eastAsia="Segoe UI" w:hAnsi="Segoe UI" w:cs="Segoe UI"/>
                <w:b/>
                <w:bCs/>
                <w:sz w:val="20"/>
                <w:szCs w:val="20"/>
              </w:rPr>
              <w:t>Where addressed in this response</w:t>
            </w:r>
          </w:p>
        </w:tc>
        <w:tc>
          <w:tcPr>
            <w:tcW w:w="4792" w:type="dxa"/>
            <w:tcBorders>
              <w:top w:val="single" w:sz="6" w:space="0" w:color="E6E6E6"/>
              <w:left w:val="single" w:sz="6" w:space="0" w:color="E6E6E6"/>
              <w:bottom w:val="single" w:sz="6" w:space="0" w:color="E6E6E6"/>
              <w:right w:val="single" w:sz="6" w:space="0" w:color="E6E6E6"/>
            </w:tcBorders>
            <w:shd w:val="clear" w:color="auto" w:fill="A5C9EB" w:themeFill="text2" w:themeFillTint="40"/>
            <w:vAlign w:val="center"/>
          </w:tcPr>
          <w:p w14:paraId="610781B6" w14:textId="77777777" w:rsidR="006A1030" w:rsidRDefault="006A1030" w:rsidP="00D86083">
            <w:pPr>
              <w:spacing w:before="100" w:beforeAutospacing="1" w:after="100" w:afterAutospacing="1" w:line="300" w:lineRule="auto"/>
              <w:jc w:val="center"/>
              <w:rPr>
                <w:rFonts w:ascii="Segoe UI" w:eastAsia="Segoe UI" w:hAnsi="Segoe UI" w:cs="Segoe UI"/>
                <w:b/>
                <w:bCs/>
                <w:sz w:val="22"/>
                <w:szCs w:val="22"/>
              </w:rPr>
            </w:pPr>
            <w:r w:rsidRPr="3ED5736A">
              <w:rPr>
                <w:rFonts w:ascii="Segoe UI" w:eastAsia="Segoe UI" w:hAnsi="Segoe UI" w:cs="Segoe UI"/>
                <w:b/>
                <w:bCs/>
                <w:sz w:val="20"/>
                <w:szCs w:val="20"/>
              </w:rPr>
              <w:t xml:space="preserve">Where the operational detail lives </w:t>
            </w:r>
          </w:p>
          <w:p w14:paraId="78081E85" w14:textId="77777777" w:rsidR="006A1030" w:rsidRDefault="006A1030" w:rsidP="00D86083">
            <w:pPr>
              <w:spacing w:before="100" w:beforeAutospacing="1" w:after="100" w:afterAutospacing="1" w:line="300" w:lineRule="auto"/>
              <w:jc w:val="center"/>
              <w:rPr>
                <w:rFonts w:ascii="Segoe UI" w:eastAsia="Segoe UI" w:hAnsi="Segoe UI" w:cs="Segoe UI"/>
                <w:b/>
                <w:bCs/>
                <w:sz w:val="22"/>
                <w:szCs w:val="22"/>
              </w:rPr>
            </w:pPr>
            <w:r w:rsidRPr="3ED5736A">
              <w:rPr>
                <w:rFonts w:ascii="Segoe UI" w:eastAsia="Segoe UI" w:hAnsi="Segoe UI" w:cs="Segoe UI"/>
                <w:b/>
                <w:bCs/>
                <w:sz w:val="20"/>
                <w:szCs w:val="20"/>
              </w:rPr>
              <w:t>(University sources)</w:t>
            </w:r>
          </w:p>
        </w:tc>
      </w:tr>
      <w:tr w:rsidR="006A1030" w14:paraId="379E860E" w14:textId="77777777" w:rsidTr="00D86083">
        <w:trPr>
          <w:trHeight w:val="300"/>
        </w:trPr>
        <w:tc>
          <w:tcPr>
            <w:tcW w:w="288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78DF5967"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Strategic rationale (student‑first; applies to existing arrangements)</w:t>
            </w:r>
          </w:p>
        </w:tc>
        <w:tc>
          <w:tcPr>
            <w:tcW w:w="147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2B75AEF8"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§2.1</w:t>
            </w:r>
          </w:p>
        </w:tc>
        <w:tc>
          <w:tcPr>
            <w:tcW w:w="4792"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5CC61EF5" w14:textId="77777777" w:rsidR="006A1030" w:rsidRDefault="006A1030" w:rsidP="00D86083">
            <w:pPr>
              <w:spacing w:before="100" w:beforeAutospacing="1" w:after="100" w:afterAutospacing="1" w:line="300" w:lineRule="auto"/>
              <w:rPr>
                <w:rFonts w:ascii="Segoe UI" w:eastAsia="Segoe UI" w:hAnsi="Segoe UI" w:cs="Segoe UI"/>
                <w:color w:val="464FEB"/>
                <w:sz w:val="20"/>
                <w:szCs w:val="20"/>
              </w:rPr>
            </w:pPr>
            <w:r w:rsidRPr="3ED5736A">
              <w:rPr>
                <w:rFonts w:ascii="Segoe UI" w:eastAsia="Segoe UI" w:hAnsi="Segoe UI" w:cs="Segoe UI"/>
                <w:b/>
                <w:bCs/>
                <w:sz w:val="20"/>
                <w:szCs w:val="20"/>
              </w:rPr>
              <w:t>POM §3.1–§3.3</w:t>
            </w:r>
            <w:r w:rsidRPr="3ED5736A">
              <w:rPr>
                <w:rFonts w:ascii="Segoe UI" w:eastAsia="Segoe UI" w:hAnsi="Segoe UI" w:cs="Segoe UI"/>
                <w:sz w:val="20"/>
                <w:szCs w:val="20"/>
              </w:rPr>
              <w:t xml:space="preserve">; </w:t>
            </w:r>
            <w:r w:rsidRPr="3ED5736A">
              <w:rPr>
                <w:rFonts w:ascii="Segoe UI" w:eastAsia="Segoe UI" w:hAnsi="Segoe UI" w:cs="Segoe UI"/>
                <w:b/>
                <w:bCs/>
                <w:sz w:val="20"/>
                <w:szCs w:val="20"/>
              </w:rPr>
              <w:t>PLC §1.1–§1.3; §2.6</w:t>
            </w:r>
            <w:r w:rsidRPr="3ED5736A">
              <w:rPr>
                <w:rFonts w:ascii="Segoe UI" w:eastAsia="Segoe UI" w:hAnsi="Segoe UI" w:cs="Segoe UI"/>
                <w:sz w:val="20"/>
                <w:szCs w:val="20"/>
              </w:rPr>
              <w:t xml:space="preserve"> </w:t>
            </w:r>
          </w:p>
        </w:tc>
      </w:tr>
      <w:tr w:rsidR="006A1030" w14:paraId="130F04F3" w14:textId="77777777" w:rsidTr="00D86083">
        <w:trPr>
          <w:trHeight w:val="300"/>
        </w:trPr>
        <w:tc>
          <w:tcPr>
            <w:tcW w:w="288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578993E3"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New arrangements – feasibility (Academic Business Case)</w:t>
            </w:r>
          </w:p>
        </w:tc>
        <w:tc>
          <w:tcPr>
            <w:tcW w:w="147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53FB4C45"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§2.2</w:t>
            </w:r>
          </w:p>
        </w:tc>
        <w:tc>
          <w:tcPr>
            <w:tcW w:w="4792"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6AA9E6FA" w14:textId="77777777" w:rsidR="006A1030" w:rsidRDefault="006A1030" w:rsidP="00D86083">
            <w:pPr>
              <w:spacing w:before="100" w:beforeAutospacing="1" w:after="100" w:afterAutospacing="1" w:line="300" w:lineRule="auto"/>
              <w:rPr>
                <w:rFonts w:ascii="Segoe UI" w:eastAsia="Segoe UI" w:hAnsi="Segoe UI" w:cs="Segoe UI"/>
                <w:color w:val="464FEB"/>
                <w:sz w:val="20"/>
                <w:szCs w:val="20"/>
              </w:rPr>
            </w:pPr>
            <w:r w:rsidRPr="3ED5736A">
              <w:rPr>
                <w:rFonts w:ascii="Segoe UI" w:eastAsia="Segoe UI" w:hAnsi="Segoe UI" w:cs="Segoe UI"/>
                <w:b/>
                <w:bCs/>
                <w:sz w:val="20"/>
                <w:szCs w:val="20"/>
              </w:rPr>
              <w:t>PLC §7.1–§7.5</w:t>
            </w:r>
          </w:p>
        </w:tc>
      </w:tr>
      <w:tr w:rsidR="006A1030" w14:paraId="67BBFB3A" w14:textId="77777777" w:rsidTr="00D86083">
        <w:trPr>
          <w:trHeight w:val="300"/>
        </w:trPr>
        <w:tc>
          <w:tcPr>
            <w:tcW w:w="288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423DA8FB"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New arrangements – due diligence (Institutional Approval)</w:t>
            </w:r>
          </w:p>
        </w:tc>
        <w:tc>
          <w:tcPr>
            <w:tcW w:w="147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528882B1"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§2.2</w:t>
            </w:r>
          </w:p>
        </w:tc>
        <w:tc>
          <w:tcPr>
            <w:tcW w:w="4792"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5A0AB483" w14:textId="77777777" w:rsidR="006A1030" w:rsidRDefault="006A1030" w:rsidP="00D86083">
            <w:pPr>
              <w:spacing w:before="100" w:beforeAutospacing="1" w:after="100" w:afterAutospacing="1" w:line="300" w:lineRule="auto"/>
              <w:rPr>
                <w:rFonts w:ascii="Segoe UI" w:eastAsia="Segoe UI" w:hAnsi="Segoe UI" w:cs="Segoe UI"/>
                <w:color w:val="464FEB"/>
                <w:sz w:val="20"/>
                <w:szCs w:val="20"/>
              </w:rPr>
            </w:pPr>
            <w:r w:rsidRPr="3ED5736A">
              <w:rPr>
                <w:rFonts w:ascii="Segoe UI" w:eastAsia="Segoe UI" w:hAnsi="Segoe UI" w:cs="Segoe UI"/>
                <w:b/>
                <w:bCs/>
                <w:sz w:val="20"/>
                <w:szCs w:val="20"/>
              </w:rPr>
              <w:t>PLC §6.1–§6.9</w:t>
            </w:r>
            <w:r w:rsidRPr="3ED5736A">
              <w:rPr>
                <w:rFonts w:ascii="Segoe UI" w:eastAsia="Segoe UI" w:hAnsi="Segoe UI" w:cs="Segoe UI"/>
                <w:sz w:val="20"/>
                <w:szCs w:val="20"/>
              </w:rPr>
              <w:t xml:space="preserve"> </w:t>
            </w:r>
          </w:p>
        </w:tc>
      </w:tr>
      <w:tr w:rsidR="006A1030" w14:paraId="77731766" w14:textId="77777777" w:rsidTr="00D86083">
        <w:trPr>
          <w:trHeight w:val="300"/>
        </w:trPr>
        <w:tc>
          <w:tcPr>
            <w:tcW w:w="288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31A1C0A7"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New arrangements – delivery approval &amp; partner capacity/resources</w:t>
            </w:r>
          </w:p>
        </w:tc>
        <w:tc>
          <w:tcPr>
            <w:tcW w:w="147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2568A5AE"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§2.2</w:t>
            </w:r>
          </w:p>
        </w:tc>
        <w:tc>
          <w:tcPr>
            <w:tcW w:w="4792"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3AA8C3FA" w14:textId="77777777" w:rsidR="006A1030" w:rsidRDefault="006A1030" w:rsidP="00D86083">
            <w:pPr>
              <w:spacing w:before="100" w:beforeAutospacing="1" w:after="100" w:afterAutospacing="1" w:line="300" w:lineRule="auto"/>
              <w:rPr>
                <w:rFonts w:ascii="Segoe UI" w:eastAsia="Segoe UI" w:hAnsi="Segoe UI" w:cs="Segoe UI"/>
                <w:color w:val="464FEB"/>
                <w:sz w:val="20"/>
                <w:szCs w:val="20"/>
              </w:rPr>
            </w:pPr>
            <w:r w:rsidRPr="3ED5736A">
              <w:rPr>
                <w:rFonts w:ascii="Segoe UI" w:eastAsia="Segoe UI" w:hAnsi="Segoe UI" w:cs="Segoe UI"/>
                <w:b/>
                <w:bCs/>
                <w:sz w:val="20"/>
                <w:szCs w:val="20"/>
              </w:rPr>
              <w:t>PLC §8.1–§8.11</w:t>
            </w:r>
          </w:p>
        </w:tc>
      </w:tr>
      <w:tr w:rsidR="006A1030" w14:paraId="6BDC897D" w14:textId="77777777" w:rsidTr="00D86083">
        <w:trPr>
          <w:trHeight w:val="300"/>
        </w:trPr>
        <w:tc>
          <w:tcPr>
            <w:tcW w:w="288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15558C22" w14:textId="77777777" w:rsidR="006A1030" w:rsidRDefault="006A1030" w:rsidP="00D86083">
            <w:pPr>
              <w:spacing w:before="100" w:beforeAutospacing="1" w:after="100" w:afterAutospacing="1" w:line="300" w:lineRule="auto"/>
              <w:rPr>
                <w:rFonts w:ascii="Segoe UI" w:eastAsia="Segoe UI" w:hAnsi="Segoe UI" w:cs="Segoe UI"/>
                <w:sz w:val="20"/>
                <w:szCs w:val="20"/>
              </w:rPr>
            </w:pPr>
            <w:r w:rsidRPr="3ED5736A">
              <w:rPr>
                <w:rFonts w:ascii="Segoe UI" w:eastAsia="Segoe UI" w:hAnsi="Segoe UI" w:cs="Segoe UI"/>
                <w:sz w:val="20"/>
                <w:szCs w:val="20"/>
              </w:rPr>
              <w:t xml:space="preserve">New arrangements – assurance of compliance with </w:t>
            </w:r>
            <w:proofErr w:type="spellStart"/>
            <w:r w:rsidRPr="3ED5736A">
              <w:rPr>
                <w:rFonts w:ascii="Segoe UI" w:eastAsia="Segoe UI" w:hAnsi="Segoe UI" w:cs="Segoe UI"/>
                <w:sz w:val="20"/>
                <w:szCs w:val="20"/>
              </w:rPr>
              <w:t>OfS</w:t>
            </w:r>
            <w:proofErr w:type="spellEnd"/>
            <w:r w:rsidRPr="3ED5736A">
              <w:rPr>
                <w:rFonts w:ascii="Segoe UI" w:eastAsia="Segoe UI" w:hAnsi="Segoe UI" w:cs="Segoe UI"/>
                <w:sz w:val="20"/>
                <w:szCs w:val="20"/>
              </w:rPr>
              <w:t xml:space="preserve"> Conditions B1–B5</w:t>
            </w:r>
          </w:p>
        </w:tc>
        <w:tc>
          <w:tcPr>
            <w:tcW w:w="147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0DEDB35F" w14:textId="77777777" w:rsidR="006A1030" w:rsidRDefault="006A1030" w:rsidP="00D86083">
            <w:pPr>
              <w:spacing w:before="100" w:beforeAutospacing="1" w:after="100" w:afterAutospacing="1" w:line="300" w:lineRule="auto"/>
              <w:rPr>
                <w:rFonts w:ascii="Segoe UI" w:eastAsia="Segoe UI" w:hAnsi="Segoe UI" w:cs="Segoe UI"/>
                <w:sz w:val="20"/>
                <w:szCs w:val="20"/>
              </w:rPr>
            </w:pPr>
            <w:r w:rsidRPr="3ED5736A">
              <w:rPr>
                <w:rFonts w:ascii="Segoe UI" w:eastAsia="Segoe UI" w:hAnsi="Segoe UI" w:cs="Segoe UI"/>
                <w:sz w:val="20"/>
                <w:szCs w:val="20"/>
              </w:rPr>
              <w:t>§2.2 (Course Approval) and §2.4 (B1–B5 assurance &amp; monitoring)</w:t>
            </w:r>
          </w:p>
        </w:tc>
        <w:tc>
          <w:tcPr>
            <w:tcW w:w="4792"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7306EDC5" w14:textId="77777777" w:rsidR="006A1030" w:rsidRDefault="006A1030" w:rsidP="00D86083">
            <w:pPr>
              <w:spacing w:before="100" w:beforeAutospacing="1" w:after="100" w:afterAutospacing="1" w:line="300" w:lineRule="auto"/>
              <w:rPr>
                <w:rFonts w:ascii="Segoe UI" w:eastAsia="Segoe UI" w:hAnsi="Segoe UI" w:cs="Segoe UI"/>
                <w:sz w:val="20"/>
                <w:szCs w:val="20"/>
              </w:rPr>
            </w:pPr>
            <w:r w:rsidRPr="3ED5736A">
              <w:rPr>
                <w:rFonts w:ascii="Segoe UI" w:eastAsia="Segoe UI" w:hAnsi="Segoe UI" w:cs="Segoe UI"/>
                <w:sz w:val="20"/>
                <w:szCs w:val="20"/>
              </w:rPr>
              <w:t>PLC §8.1–§8.11 (approval incl. externals, resource/site verification, staffing CV checks); PLC §13–§17 (continuous monitoring; partner review; periodic review); POM §14; §15–§16; §21 (external examiners; assessment boards; course committees).</w:t>
            </w:r>
          </w:p>
        </w:tc>
      </w:tr>
      <w:tr w:rsidR="006A1030" w14:paraId="3D96FDD4" w14:textId="77777777" w:rsidTr="00D86083">
        <w:trPr>
          <w:trHeight w:val="300"/>
        </w:trPr>
        <w:tc>
          <w:tcPr>
            <w:tcW w:w="288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0693620C" w14:textId="77777777" w:rsidR="006A1030" w:rsidRDefault="006A1030" w:rsidP="00D86083">
            <w:pPr>
              <w:spacing w:before="100" w:beforeAutospacing="1" w:after="100" w:afterAutospacing="1" w:line="300" w:lineRule="auto"/>
              <w:rPr>
                <w:rFonts w:ascii="Segoe UI" w:eastAsia="Segoe UI" w:hAnsi="Segoe UI" w:cs="Segoe UI"/>
                <w:sz w:val="20"/>
                <w:szCs w:val="20"/>
              </w:rPr>
            </w:pPr>
            <w:r w:rsidRPr="3ED5736A">
              <w:rPr>
                <w:rFonts w:ascii="Segoe UI" w:eastAsia="Segoe UI" w:hAnsi="Segoe UI" w:cs="Segoe UI"/>
                <w:sz w:val="20"/>
                <w:szCs w:val="20"/>
              </w:rPr>
              <w:t>Governing‑body &amp; risk/audit oversight (committee structure)</w:t>
            </w:r>
          </w:p>
        </w:tc>
        <w:tc>
          <w:tcPr>
            <w:tcW w:w="147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5F250D8C"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§2.3</w:t>
            </w:r>
          </w:p>
        </w:tc>
        <w:tc>
          <w:tcPr>
            <w:tcW w:w="4792"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2B858DA0" w14:textId="77777777" w:rsidR="006A1030" w:rsidRDefault="006A1030" w:rsidP="00D86083">
            <w:pPr>
              <w:spacing w:before="100" w:beforeAutospacing="1" w:after="100" w:afterAutospacing="1" w:line="300" w:lineRule="auto"/>
              <w:rPr>
                <w:rFonts w:ascii="Segoe UI" w:eastAsia="Segoe UI" w:hAnsi="Segoe UI" w:cs="Segoe UI"/>
                <w:color w:val="464FEB"/>
                <w:sz w:val="20"/>
                <w:szCs w:val="20"/>
              </w:rPr>
            </w:pPr>
            <w:r w:rsidRPr="3ED5736A">
              <w:rPr>
                <w:rFonts w:ascii="Segoe UI" w:eastAsia="Segoe UI" w:hAnsi="Segoe UI" w:cs="Segoe UI"/>
                <w:b/>
                <w:bCs/>
                <w:sz w:val="20"/>
                <w:szCs w:val="20"/>
              </w:rPr>
              <w:t>POM §2.1.2–§2.1.4; Appendix 1</w:t>
            </w:r>
            <w:r w:rsidRPr="3ED5736A">
              <w:rPr>
                <w:rFonts w:ascii="Segoe UI" w:eastAsia="Segoe UI" w:hAnsi="Segoe UI" w:cs="Segoe UI"/>
                <w:sz w:val="20"/>
                <w:szCs w:val="20"/>
              </w:rPr>
              <w:t xml:space="preserve"> </w:t>
            </w:r>
          </w:p>
        </w:tc>
      </w:tr>
      <w:tr w:rsidR="006A1030" w14:paraId="365354D0" w14:textId="77777777" w:rsidTr="00D86083">
        <w:trPr>
          <w:trHeight w:val="300"/>
        </w:trPr>
        <w:tc>
          <w:tcPr>
            <w:tcW w:w="288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64948B86"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Complaints</w:t>
            </w:r>
          </w:p>
        </w:tc>
        <w:tc>
          <w:tcPr>
            <w:tcW w:w="147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31B987E5"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§2.4</w:t>
            </w:r>
          </w:p>
        </w:tc>
        <w:tc>
          <w:tcPr>
            <w:tcW w:w="4792"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359F2B77" w14:textId="77777777" w:rsidR="006A1030" w:rsidRDefault="006A1030" w:rsidP="00D86083">
            <w:pPr>
              <w:spacing w:before="100" w:beforeAutospacing="1" w:after="100" w:afterAutospacing="1" w:line="300" w:lineRule="auto"/>
              <w:rPr>
                <w:rFonts w:ascii="Segoe UI" w:eastAsia="Segoe UI" w:hAnsi="Segoe UI" w:cs="Segoe UI"/>
                <w:color w:val="464FEB"/>
                <w:sz w:val="20"/>
                <w:szCs w:val="20"/>
              </w:rPr>
            </w:pPr>
            <w:r w:rsidRPr="3ED5736A">
              <w:rPr>
                <w:rFonts w:ascii="Segoe UI" w:eastAsia="Segoe UI" w:hAnsi="Segoe UI" w:cs="Segoe UI"/>
                <w:b/>
                <w:bCs/>
                <w:sz w:val="20"/>
                <w:szCs w:val="20"/>
              </w:rPr>
              <w:t>POM §24.5</w:t>
            </w:r>
            <w:r w:rsidRPr="3ED5736A">
              <w:rPr>
                <w:rFonts w:ascii="Segoe UI" w:eastAsia="Segoe UI" w:hAnsi="Segoe UI" w:cs="Segoe UI"/>
                <w:sz w:val="20"/>
                <w:szCs w:val="20"/>
              </w:rPr>
              <w:t xml:space="preserve"> </w:t>
            </w:r>
          </w:p>
        </w:tc>
      </w:tr>
      <w:tr w:rsidR="006A1030" w14:paraId="4E8C009A" w14:textId="77777777" w:rsidTr="00D86083">
        <w:trPr>
          <w:trHeight w:val="300"/>
        </w:trPr>
        <w:tc>
          <w:tcPr>
            <w:tcW w:w="288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35E98E93"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Whistleblowing (partnership activity)</w:t>
            </w:r>
          </w:p>
        </w:tc>
        <w:tc>
          <w:tcPr>
            <w:tcW w:w="147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5C0F5D2A"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§2.4</w:t>
            </w:r>
          </w:p>
        </w:tc>
        <w:tc>
          <w:tcPr>
            <w:tcW w:w="4792"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54760433" w14:textId="77777777" w:rsidR="006A1030" w:rsidRDefault="006A1030" w:rsidP="00D86083">
            <w:pPr>
              <w:spacing w:before="100" w:beforeAutospacing="1" w:after="100" w:afterAutospacing="1" w:line="300" w:lineRule="auto"/>
              <w:rPr>
                <w:rFonts w:ascii="Segoe UI" w:eastAsia="Segoe UI" w:hAnsi="Segoe UI" w:cs="Segoe UI"/>
                <w:color w:val="464FEB"/>
                <w:sz w:val="20"/>
                <w:szCs w:val="20"/>
              </w:rPr>
            </w:pPr>
            <w:r w:rsidRPr="3ED5736A">
              <w:rPr>
                <w:rFonts w:ascii="Segoe UI" w:eastAsia="Segoe UI" w:hAnsi="Segoe UI" w:cs="Segoe UI"/>
                <w:b/>
                <w:bCs/>
                <w:sz w:val="20"/>
                <w:szCs w:val="20"/>
              </w:rPr>
              <w:t>POM §25.4</w:t>
            </w:r>
            <w:r w:rsidRPr="3ED5736A">
              <w:rPr>
                <w:rFonts w:ascii="Segoe UI" w:eastAsia="Segoe UI" w:hAnsi="Segoe UI" w:cs="Segoe UI"/>
                <w:sz w:val="20"/>
                <w:szCs w:val="20"/>
              </w:rPr>
              <w:t xml:space="preserve"> (Safeguarding report route); </w:t>
            </w:r>
            <w:r w:rsidRPr="3ED5736A">
              <w:rPr>
                <w:rFonts w:ascii="Segoe UI" w:eastAsia="Segoe UI" w:hAnsi="Segoe UI" w:cs="Segoe UI"/>
                <w:b/>
                <w:bCs/>
                <w:sz w:val="20"/>
                <w:szCs w:val="20"/>
              </w:rPr>
              <w:t>PLC §18.1–§18.5</w:t>
            </w:r>
            <w:r w:rsidRPr="3ED5736A">
              <w:rPr>
                <w:rFonts w:ascii="Segoe UI" w:eastAsia="Segoe UI" w:hAnsi="Segoe UI" w:cs="Segoe UI"/>
                <w:sz w:val="20"/>
                <w:szCs w:val="20"/>
              </w:rPr>
              <w:t xml:space="preserve"> (Cause for Concern / High‑Risk Partner) </w:t>
            </w:r>
          </w:p>
        </w:tc>
      </w:tr>
      <w:tr w:rsidR="006A1030" w14:paraId="453BB76B" w14:textId="77777777" w:rsidTr="00D86083">
        <w:trPr>
          <w:trHeight w:val="300"/>
        </w:trPr>
        <w:tc>
          <w:tcPr>
            <w:tcW w:w="288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6BFFF93F"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Conflicts of interest (define/manage)</w:t>
            </w:r>
          </w:p>
        </w:tc>
        <w:tc>
          <w:tcPr>
            <w:tcW w:w="147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5609D5E7"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§2.4</w:t>
            </w:r>
          </w:p>
        </w:tc>
        <w:tc>
          <w:tcPr>
            <w:tcW w:w="4792"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525FEE09" w14:textId="77777777" w:rsidR="006A1030" w:rsidRDefault="006A1030" w:rsidP="00D86083">
            <w:pPr>
              <w:spacing w:before="100" w:beforeAutospacing="1" w:after="100" w:afterAutospacing="1" w:line="300" w:lineRule="auto"/>
              <w:rPr>
                <w:rFonts w:ascii="Segoe UI" w:eastAsia="Segoe UI" w:hAnsi="Segoe UI" w:cs="Segoe UI"/>
                <w:i/>
                <w:iCs/>
                <w:sz w:val="22"/>
                <w:szCs w:val="22"/>
              </w:rPr>
            </w:pPr>
            <w:r w:rsidRPr="3ED5736A">
              <w:rPr>
                <w:rFonts w:ascii="Segoe UI" w:eastAsia="Segoe UI" w:hAnsi="Segoe UI" w:cs="Segoe UI"/>
                <w:i/>
                <w:iCs/>
                <w:sz w:val="20"/>
                <w:szCs w:val="20"/>
              </w:rPr>
              <w:t>(Explicitly codified in SIS; aligned to existing decision‑making practices)</w:t>
            </w:r>
          </w:p>
        </w:tc>
      </w:tr>
      <w:tr w:rsidR="006A1030" w14:paraId="6A945208" w14:textId="77777777" w:rsidTr="00D86083">
        <w:trPr>
          <w:trHeight w:val="300"/>
        </w:trPr>
        <w:tc>
          <w:tcPr>
            <w:tcW w:w="288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1EF87025"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Protecting public funding (attendance/SLC; data accuracy)</w:t>
            </w:r>
          </w:p>
        </w:tc>
        <w:tc>
          <w:tcPr>
            <w:tcW w:w="147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3BF300FA"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§2.4</w:t>
            </w:r>
          </w:p>
        </w:tc>
        <w:tc>
          <w:tcPr>
            <w:tcW w:w="4792"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74793FDF" w14:textId="77777777" w:rsidR="006A1030" w:rsidRDefault="006A1030" w:rsidP="00D86083">
            <w:pPr>
              <w:spacing w:before="100" w:beforeAutospacing="1" w:after="100" w:afterAutospacing="1" w:line="300" w:lineRule="auto"/>
              <w:rPr>
                <w:rFonts w:ascii="Segoe UI" w:eastAsia="Segoe UI" w:hAnsi="Segoe UI" w:cs="Segoe UI"/>
                <w:color w:val="464FEB"/>
                <w:sz w:val="20"/>
                <w:szCs w:val="20"/>
              </w:rPr>
            </w:pPr>
            <w:r w:rsidRPr="3ED5736A">
              <w:rPr>
                <w:rFonts w:ascii="Segoe UI" w:eastAsia="Segoe UI" w:hAnsi="Segoe UI" w:cs="Segoe UI"/>
                <w:b/>
                <w:bCs/>
                <w:sz w:val="20"/>
                <w:szCs w:val="20"/>
              </w:rPr>
              <w:t>POM §10.10.3–§10.10.8</w:t>
            </w:r>
            <w:r w:rsidRPr="3ED5736A">
              <w:rPr>
                <w:rFonts w:ascii="Segoe UI" w:eastAsia="Segoe UI" w:hAnsi="Segoe UI" w:cs="Segoe UI"/>
                <w:sz w:val="20"/>
                <w:szCs w:val="20"/>
              </w:rPr>
              <w:t xml:space="preserve">; </w:t>
            </w:r>
            <w:r w:rsidRPr="3ED5736A">
              <w:rPr>
                <w:rFonts w:ascii="Segoe UI" w:eastAsia="Segoe UI" w:hAnsi="Segoe UI" w:cs="Segoe UI"/>
                <w:b/>
                <w:bCs/>
                <w:sz w:val="20"/>
                <w:szCs w:val="20"/>
              </w:rPr>
              <w:t>POM §31</w:t>
            </w:r>
            <w:r w:rsidRPr="3ED5736A">
              <w:rPr>
                <w:rFonts w:ascii="Segoe UI" w:eastAsia="Segoe UI" w:hAnsi="Segoe UI" w:cs="Segoe UI"/>
                <w:sz w:val="20"/>
                <w:szCs w:val="20"/>
              </w:rPr>
              <w:t xml:space="preserve"> (Repeat DD) </w:t>
            </w:r>
          </w:p>
        </w:tc>
      </w:tr>
      <w:tr w:rsidR="006A1030" w14:paraId="205D294F" w14:textId="77777777" w:rsidTr="00D86083">
        <w:trPr>
          <w:trHeight w:val="300"/>
        </w:trPr>
        <w:tc>
          <w:tcPr>
            <w:tcW w:w="288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571BFF35"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Recruitment‑agent oversight</w:t>
            </w:r>
          </w:p>
        </w:tc>
        <w:tc>
          <w:tcPr>
            <w:tcW w:w="147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681A6938" w14:textId="77777777" w:rsidR="006A1030" w:rsidRDefault="006A1030" w:rsidP="00D86083">
            <w:pPr>
              <w:spacing w:before="100" w:beforeAutospacing="1" w:after="100" w:afterAutospacing="1" w:line="300" w:lineRule="auto"/>
              <w:rPr>
                <w:rFonts w:ascii="Segoe UI" w:eastAsia="Segoe UI" w:hAnsi="Segoe UI" w:cs="Segoe UI"/>
                <w:sz w:val="20"/>
                <w:szCs w:val="20"/>
              </w:rPr>
            </w:pPr>
            <w:r w:rsidRPr="3ED5736A">
              <w:rPr>
                <w:rFonts w:ascii="Segoe UI" w:eastAsia="Segoe UI" w:hAnsi="Segoe UI" w:cs="Segoe UI"/>
                <w:sz w:val="20"/>
                <w:szCs w:val="20"/>
              </w:rPr>
              <w:t>§2.4 (current position &amp; controls; explicit statement will be codified in the SIS)</w:t>
            </w:r>
          </w:p>
          <w:p w14:paraId="584388CC" w14:textId="77777777" w:rsidR="006A1030" w:rsidRDefault="006A1030" w:rsidP="00D86083">
            <w:pPr>
              <w:spacing w:before="100" w:beforeAutospacing="1" w:after="100" w:afterAutospacing="1" w:line="300" w:lineRule="auto"/>
              <w:rPr>
                <w:rFonts w:ascii="Segoe UI" w:eastAsia="Segoe UI" w:hAnsi="Segoe UI" w:cs="Segoe UI"/>
                <w:sz w:val="20"/>
                <w:szCs w:val="20"/>
              </w:rPr>
            </w:pPr>
          </w:p>
        </w:tc>
        <w:tc>
          <w:tcPr>
            <w:tcW w:w="4792"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31E3D2D3" w14:textId="77777777" w:rsidR="006A1030" w:rsidRDefault="006A1030" w:rsidP="00D86083">
            <w:pPr>
              <w:spacing w:before="100" w:beforeAutospacing="1" w:after="100" w:afterAutospacing="1" w:line="300" w:lineRule="auto"/>
              <w:rPr>
                <w:rFonts w:ascii="Segoe UI" w:eastAsia="Segoe UI" w:hAnsi="Segoe UI" w:cs="Segoe UI"/>
                <w:b/>
                <w:bCs/>
                <w:sz w:val="20"/>
                <w:szCs w:val="20"/>
              </w:rPr>
            </w:pPr>
            <w:r w:rsidRPr="3ED5736A">
              <w:rPr>
                <w:rFonts w:ascii="Segoe UI" w:eastAsia="Segoe UI" w:hAnsi="Segoe UI" w:cs="Segoe UI"/>
                <w:b/>
                <w:bCs/>
                <w:sz w:val="20"/>
                <w:szCs w:val="20"/>
              </w:rPr>
              <w:t xml:space="preserve">POM §8 </w:t>
            </w:r>
            <w:r w:rsidRPr="3ED5736A">
              <w:rPr>
                <w:rFonts w:ascii="Segoe UI" w:eastAsia="Segoe UI" w:hAnsi="Segoe UI" w:cs="Segoe UI"/>
                <w:sz w:val="20"/>
                <w:szCs w:val="20"/>
              </w:rPr>
              <w:t>(Marketing)</w:t>
            </w:r>
            <w:r w:rsidRPr="3ED5736A">
              <w:rPr>
                <w:rFonts w:ascii="Segoe UI" w:eastAsia="Segoe UI" w:hAnsi="Segoe UI" w:cs="Segoe UI"/>
                <w:b/>
                <w:bCs/>
                <w:sz w:val="20"/>
                <w:szCs w:val="20"/>
              </w:rPr>
              <w:t>; POM §9</w:t>
            </w:r>
            <w:r w:rsidRPr="3ED5736A">
              <w:rPr>
                <w:rFonts w:ascii="Segoe UI" w:eastAsia="Segoe UI" w:hAnsi="Segoe UI" w:cs="Segoe UI"/>
                <w:sz w:val="20"/>
                <w:szCs w:val="20"/>
              </w:rPr>
              <w:t xml:space="preserve"> (CMA Compliance)</w:t>
            </w:r>
            <w:r w:rsidRPr="3ED5736A">
              <w:rPr>
                <w:rFonts w:ascii="Segoe UI" w:eastAsia="Segoe UI" w:hAnsi="Segoe UI" w:cs="Segoe UI"/>
                <w:b/>
                <w:bCs/>
                <w:sz w:val="20"/>
                <w:szCs w:val="20"/>
              </w:rPr>
              <w:t>; PLC §23 (</w:t>
            </w:r>
            <w:r w:rsidRPr="3ED5736A">
              <w:rPr>
                <w:rFonts w:ascii="Segoe UI" w:eastAsia="Segoe UI" w:hAnsi="Segoe UI" w:cs="Segoe UI"/>
                <w:sz w:val="20"/>
                <w:szCs w:val="20"/>
              </w:rPr>
              <w:t>Monitoring of Marketing Materials)</w:t>
            </w:r>
            <w:r w:rsidRPr="3ED5736A">
              <w:rPr>
                <w:rFonts w:ascii="Segoe UI" w:eastAsia="Segoe UI" w:hAnsi="Segoe UI" w:cs="Segoe UI"/>
                <w:b/>
                <w:bCs/>
                <w:sz w:val="20"/>
                <w:szCs w:val="20"/>
              </w:rPr>
              <w:t>;</w:t>
            </w:r>
          </w:p>
          <w:p w14:paraId="0C1BC4E4" w14:textId="77777777" w:rsidR="006A1030" w:rsidRDefault="006A1030" w:rsidP="00D86083">
            <w:pPr>
              <w:spacing w:before="100" w:beforeAutospacing="1" w:after="100" w:afterAutospacing="1" w:line="300" w:lineRule="auto"/>
              <w:rPr>
                <w:rFonts w:ascii="Segoe UI" w:eastAsia="Segoe UI" w:hAnsi="Segoe UI" w:cs="Segoe UI"/>
                <w:color w:val="464FEB"/>
                <w:sz w:val="20"/>
                <w:szCs w:val="20"/>
              </w:rPr>
            </w:pPr>
            <w:r w:rsidRPr="3ED5736A">
              <w:rPr>
                <w:rFonts w:ascii="Segoe UI" w:eastAsia="Segoe UI" w:hAnsi="Segoe UI" w:cs="Segoe UI"/>
                <w:b/>
                <w:bCs/>
                <w:sz w:val="20"/>
                <w:szCs w:val="20"/>
              </w:rPr>
              <w:t>PLC §4.1</w:t>
            </w:r>
            <w:r w:rsidRPr="3ED5736A">
              <w:rPr>
                <w:rFonts w:ascii="Segoe UI" w:eastAsia="Segoe UI" w:hAnsi="Segoe UI" w:cs="Segoe UI"/>
                <w:sz w:val="20"/>
                <w:szCs w:val="20"/>
              </w:rPr>
              <w:t xml:space="preserve"> (Initial Contact context); </w:t>
            </w:r>
            <w:r w:rsidRPr="3ED5736A">
              <w:rPr>
                <w:rFonts w:ascii="Segoe UI" w:eastAsia="Segoe UI" w:hAnsi="Segoe UI" w:cs="Segoe UI"/>
                <w:i/>
                <w:iCs/>
                <w:sz w:val="20"/>
                <w:szCs w:val="20"/>
              </w:rPr>
              <w:t>(oversight statement explicit in SIS)</w:t>
            </w:r>
          </w:p>
        </w:tc>
      </w:tr>
      <w:tr w:rsidR="006A1030" w14:paraId="324FE8A9" w14:textId="77777777" w:rsidTr="00D86083">
        <w:trPr>
          <w:trHeight w:val="300"/>
        </w:trPr>
        <w:tc>
          <w:tcPr>
            <w:tcW w:w="288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3106844E"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Admissions oversight (incl. non‑standard/exceptions)</w:t>
            </w:r>
          </w:p>
        </w:tc>
        <w:tc>
          <w:tcPr>
            <w:tcW w:w="147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620E7E8C"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§2.4</w:t>
            </w:r>
          </w:p>
        </w:tc>
        <w:tc>
          <w:tcPr>
            <w:tcW w:w="4792"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6119B55F" w14:textId="77777777" w:rsidR="006A1030" w:rsidRDefault="006A1030" w:rsidP="00D86083">
            <w:pPr>
              <w:spacing w:before="100" w:beforeAutospacing="1" w:after="100" w:afterAutospacing="1" w:line="300" w:lineRule="auto"/>
              <w:rPr>
                <w:rFonts w:ascii="Segoe UI" w:eastAsia="Segoe UI" w:hAnsi="Segoe UI" w:cs="Segoe UI"/>
                <w:color w:val="464FEB"/>
                <w:sz w:val="20"/>
                <w:szCs w:val="20"/>
              </w:rPr>
            </w:pPr>
            <w:r w:rsidRPr="3ED5736A">
              <w:rPr>
                <w:rFonts w:ascii="Segoe UI" w:eastAsia="Segoe UI" w:hAnsi="Segoe UI" w:cs="Segoe UI"/>
                <w:b/>
                <w:bCs/>
                <w:sz w:val="20"/>
                <w:szCs w:val="20"/>
              </w:rPr>
              <w:t>POM §10.1.3–§10.1.8</w:t>
            </w:r>
          </w:p>
        </w:tc>
      </w:tr>
      <w:tr w:rsidR="006A1030" w14:paraId="568AAB69" w14:textId="77777777" w:rsidTr="00D86083">
        <w:trPr>
          <w:trHeight w:val="300"/>
        </w:trPr>
        <w:tc>
          <w:tcPr>
            <w:tcW w:w="288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3E9D6B7E"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Assessing/approving delivery of courses</w:t>
            </w:r>
          </w:p>
        </w:tc>
        <w:tc>
          <w:tcPr>
            <w:tcW w:w="147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3831A148"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§2.2 &amp; §2.4</w:t>
            </w:r>
          </w:p>
        </w:tc>
        <w:tc>
          <w:tcPr>
            <w:tcW w:w="4792"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63051F32" w14:textId="77777777" w:rsidR="006A1030" w:rsidRDefault="006A1030" w:rsidP="00D86083">
            <w:pPr>
              <w:spacing w:before="100" w:beforeAutospacing="1" w:after="100" w:afterAutospacing="1" w:line="300" w:lineRule="auto"/>
              <w:rPr>
                <w:rFonts w:ascii="Segoe UI" w:eastAsia="Segoe UI" w:hAnsi="Segoe UI" w:cs="Segoe UI"/>
                <w:color w:val="464FEB"/>
                <w:sz w:val="20"/>
                <w:szCs w:val="20"/>
              </w:rPr>
            </w:pPr>
            <w:r w:rsidRPr="3ED5736A">
              <w:rPr>
                <w:rFonts w:ascii="Segoe UI" w:eastAsia="Segoe UI" w:hAnsi="Segoe UI" w:cs="Segoe UI"/>
                <w:b/>
                <w:bCs/>
                <w:sz w:val="20"/>
                <w:szCs w:val="20"/>
              </w:rPr>
              <w:t>PLC §8.1–§8.11</w:t>
            </w:r>
          </w:p>
        </w:tc>
      </w:tr>
      <w:tr w:rsidR="006A1030" w14:paraId="30127F53" w14:textId="77777777" w:rsidTr="00D86083">
        <w:trPr>
          <w:trHeight w:val="300"/>
        </w:trPr>
        <w:tc>
          <w:tcPr>
            <w:tcW w:w="288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20DECAB7" w14:textId="77777777" w:rsidR="006A1030" w:rsidRDefault="006A1030" w:rsidP="00D86083">
            <w:pPr>
              <w:spacing w:before="100" w:beforeAutospacing="1" w:after="100" w:afterAutospacing="1" w:line="300" w:lineRule="auto"/>
              <w:rPr>
                <w:rFonts w:ascii="Segoe UI" w:eastAsia="Segoe UI" w:hAnsi="Segoe UI" w:cs="Segoe UI"/>
                <w:sz w:val="20"/>
                <w:szCs w:val="20"/>
              </w:rPr>
            </w:pPr>
            <w:r w:rsidRPr="3ED5736A">
              <w:rPr>
                <w:rFonts w:ascii="Segoe UI" w:eastAsia="Segoe UI" w:hAnsi="Segoe UI" w:cs="Segoe UI"/>
                <w:sz w:val="20"/>
                <w:szCs w:val="20"/>
              </w:rPr>
              <w:t>Ongoing monitoring to ensure compliance with B1–B5</w:t>
            </w:r>
          </w:p>
        </w:tc>
        <w:tc>
          <w:tcPr>
            <w:tcW w:w="147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1E1393B7"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§2.4</w:t>
            </w:r>
          </w:p>
        </w:tc>
        <w:tc>
          <w:tcPr>
            <w:tcW w:w="4792"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7016A706" w14:textId="77777777" w:rsidR="006A1030" w:rsidRDefault="006A1030" w:rsidP="00D86083">
            <w:pPr>
              <w:spacing w:before="100" w:beforeAutospacing="1" w:after="100" w:afterAutospacing="1" w:line="300" w:lineRule="auto"/>
              <w:rPr>
                <w:rFonts w:ascii="Segoe UI" w:eastAsia="Segoe UI" w:hAnsi="Segoe UI" w:cs="Segoe UI"/>
                <w:color w:val="464FEB"/>
                <w:sz w:val="20"/>
                <w:szCs w:val="20"/>
              </w:rPr>
            </w:pPr>
            <w:r w:rsidRPr="3ED5736A">
              <w:rPr>
                <w:rFonts w:ascii="Segoe UI" w:eastAsia="Segoe UI" w:hAnsi="Segoe UI" w:cs="Segoe UI"/>
                <w:b/>
                <w:bCs/>
                <w:sz w:val="20"/>
                <w:szCs w:val="20"/>
              </w:rPr>
              <w:t>PLC §13–§17</w:t>
            </w:r>
            <w:r w:rsidRPr="3ED5736A">
              <w:rPr>
                <w:rFonts w:ascii="Segoe UI" w:eastAsia="Segoe UI" w:hAnsi="Segoe UI" w:cs="Segoe UI"/>
                <w:sz w:val="20"/>
                <w:szCs w:val="20"/>
              </w:rPr>
              <w:t xml:space="preserve">; </w:t>
            </w:r>
            <w:r w:rsidRPr="3ED5736A">
              <w:rPr>
                <w:rFonts w:ascii="Segoe UI" w:eastAsia="Segoe UI" w:hAnsi="Segoe UI" w:cs="Segoe UI"/>
                <w:b/>
                <w:bCs/>
                <w:sz w:val="20"/>
                <w:szCs w:val="20"/>
              </w:rPr>
              <w:t>POM §14; §15–§16; §21; §31</w:t>
            </w:r>
            <w:r w:rsidRPr="3ED5736A">
              <w:rPr>
                <w:rFonts w:ascii="Segoe UI" w:eastAsia="Segoe UI" w:hAnsi="Segoe UI" w:cs="Segoe UI"/>
                <w:sz w:val="20"/>
                <w:szCs w:val="20"/>
              </w:rPr>
              <w:t xml:space="preserve"> </w:t>
            </w:r>
          </w:p>
        </w:tc>
      </w:tr>
      <w:tr w:rsidR="006A1030" w14:paraId="2E694E2F" w14:textId="77777777" w:rsidTr="00D86083">
        <w:trPr>
          <w:trHeight w:val="300"/>
        </w:trPr>
        <w:tc>
          <w:tcPr>
            <w:tcW w:w="288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50AB6D97"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Academic misconduct</w:t>
            </w:r>
          </w:p>
        </w:tc>
        <w:tc>
          <w:tcPr>
            <w:tcW w:w="147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5B981CE9"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§2.4</w:t>
            </w:r>
          </w:p>
        </w:tc>
        <w:tc>
          <w:tcPr>
            <w:tcW w:w="4792"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7599F56D" w14:textId="77777777" w:rsidR="006A1030" w:rsidRDefault="006A1030" w:rsidP="00D86083">
            <w:pPr>
              <w:spacing w:before="100" w:beforeAutospacing="1" w:after="100" w:afterAutospacing="1" w:line="300" w:lineRule="auto"/>
              <w:rPr>
                <w:rFonts w:ascii="Segoe UI" w:eastAsia="Segoe UI" w:hAnsi="Segoe UI" w:cs="Segoe UI"/>
                <w:color w:val="464FEB"/>
                <w:sz w:val="20"/>
                <w:szCs w:val="20"/>
              </w:rPr>
            </w:pPr>
            <w:r w:rsidRPr="3ED5736A">
              <w:rPr>
                <w:rFonts w:ascii="Segoe UI" w:eastAsia="Segoe UI" w:hAnsi="Segoe UI" w:cs="Segoe UI"/>
                <w:b/>
                <w:bCs/>
                <w:sz w:val="20"/>
                <w:szCs w:val="20"/>
              </w:rPr>
              <w:t>POM §24.3</w:t>
            </w:r>
            <w:r w:rsidRPr="3ED5736A">
              <w:rPr>
                <w:rFonts w:ascii="Segoe UI" w:eastAsia="Segoe UI" w:hAnsi="Segoe UI" w:cs="Segoe UI"/>
                <w:sz w:val="20"/>
                <w:szCs w:val="20"/>
              </w:rPr>
              <w:t xml:space="preserve"> </w:t>
            </w:r>
          </w:p>
        </w:tc>
      </w:tr>
      <w:tr w:rsidR="006A1030" w14:paraId="641FE7A0" w14:textId="77777777" w:rsidTr="00D86083">
        <w:trPr>
          <w:trHeight w:val="300"/>
        </w:trPr>
        <w:tc>
          <w:tcPr>
            <w:tcW w:w="288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18E93705"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Access to information/data held by partners</w:t>
            </w:r>
          </w:p>
        </w:tc>
        <w:tc>
          <w:tcPr>
            <w:tcW w:w="147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45F07B68"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§2.4</w:t>
            </w:r>
          </w:p>
        </w:tc>
        <w:tc>
          <w:tcPr>
            <w:tcW w:w="4792"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35BB0E49" w14:textId="77777777" w:rsidR="006A1030" w:rsidRDefault="006A1030" w:rsidP="00D86083">
            <w:pPr>
              <w:spacing w:before="100" w:beforeAutospacing="1" w:after="100" w:afterAutospacing="1" w:line="300" w:lineRule="auto"/>
              <w:rPr>
                <w:rFonts w:ascii="Segoe UI" w:eastAsia="Segoe UI" w:hAnsi="Segoe UI" w:cs="Segoe UI"/>
                <w:sz w:val="20"/>
                <w:szCs w:val="20"/>
              </w:rPr>
            </w:pPr>
            <w:r w:rsidRPr="3ED5736A">
              <w:rPr>
                <w:rFonts w:ascii="Segoe UI" w:eastAsia="Segoe UI" w:hAnsi="Segoe UI" w:cs="Segoe UI"/>
                <w:b/>
                <w:bCs/>
                <w:sz w:val="20"/>
                <w:szCs w:val="20"/>
              </w:rPr>
              <w:t>POM §10.1.2–§10.1.5; §19.4; §30.1–§30.7</w:t>
            </w:r>
          </w:p>
        </w:tc>
      </w:tr>
      <w:tr w:rsidR="006A1030" w14:paraId="0E1118AE" w14:textId="77777777" w:rsidTr="00D86083">
        <w:trPr>
          <w:trHeight w:val="300"/>
        </w:trPr>
        <w:tc>
          <w:tcPr>
            <w:tcW w:w="288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3705CE8D"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Verification of partner‑held data (incl. onsite)</w:t>
            </w:r>
          </w:p>
        </w:tc>
        <w:tc>
          <w:tcPr>
            <w:tcW w:w="147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74D1C080"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§3.3 &amp; §2.2/§2.4</w:t>
            </w:r>
          </w:p>
        </w:tc>
        <w:tc>
          <w:tcPr>
            <w:tcW w:w="4792"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2DD2E111" w14:textId="77777777" w:rsidR="006A1030" w:rsidRDefault="006A1030" w:rsidP="00D86083">
            <w:pPr>
              <w:spacing w:before="100" w:beforeAutospacing="1" w:after="100" w:afterAutospacing="1" w:line="300" w:lineRule="auto"/>
              <w:rPr>
                <w:rFonts w:ascii="Segoe UI" w:eastAsia="Segoe UI" w:hAnsi="Segoe UI" w:cs="Segoe UI"/>
                <w:color w:val="464FEB"/>
                <w:sz w:val="20"/>
                <w:szCs w:val="20"/>
              </w:rPr>
            </w:pPr>
            <w:r w:rsidRPr="3ED5736A">
              <w:rPr>
                <w:rFonts w:ascii="Segoe UI" w:eastAsia="Segoe UI" w:hAnsi="Segoe UI" w:cs="Segoe UI"/>
                <w:b/>
                <w:bCs/>
                <w:sz w:val="20"/>
                <w:szCs w:val="20"/>
              </w:rPr>
              <w:t>PLC §8.6–§8.11</w:t>
            </w:r>
            <w:r w:rsidRPr="3ED5736A">
              <w:rPr>
                <w:rFonts w:ascii="Segoe UI" w:eastAsia="Segoe UI" w:hAnsi="Segoe UI" w:cs="Segoe UI"/>
                <w:sz w:val="20"/>
                <w:szCs w:val="20"/>
              </w:rPr>
              <w:t xml:space="preserve">; </w:t>
            </w:r>
            <w:r w:rsidRPr="3ED5736A">
              <w:rPr>
                <w:rFonts w:ascii="Segoe UI" w:eastAsia="Segoe UI" w:hAnsi="Segoe UI" w:cs="Segoe UI"/>
                <w:b/>
                <w:bCs/>
                <w:sz w:val="20"/>
                <w:szCs w:val="20"/>
              </w:rPr>
              <w:t>POM §10.10.5–§10.10.6; §14; §31</w:t>
            </w:r>
            <w:r w:rsidRPr="3ED5736A">
              <w:rPr>
                <w:rFonts w:ascii="Segoe UI" w:eastAsia="Segoe UI" w:hAnsi="Segoe UI" w:cs="Segoe UI"/>
                <w:sz w:val="20"/>
                <w:szCs w:val="20"/>
              </w:rPr>
              <w:t xml:space="preserve"> </w:t>
            </w:r>
          </w:p>
        </w:tc>
      </w:tr>
      <w:tr w:rsidR="006A1030" w14:paraId="3134680B" w14:textId="77777777" w:rsidTr="00D86083">
        <w:trPr>
          <w:trHeight w:val="300"/>
        </w:trPr>
        <w:tc>
          <w:tcPr>
            <w:tcW w:w="288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40EC73F9"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Delivery failure (teach‑out/transfer)</w:t>
            </w:r>
          </w:p>
        </w:tc>
        <w:tc>
          <w:tcPr>
            <w:tcW w:w="147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4A29EA1A"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§2.4</w:t>
            </w:r>
          </w:p>
        </w:tc>
        <w:tc>
          <w:tcPr>
            <w:tcW w:w="4792"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4506CEB2" w14:textId="77777777" w:rsidR="006A1030" w:rsidRDefault="006A1030" w:rsidP="00D86083">
            <w:pPr>
              <w:spacing w:before="100" w:beforeAutospacing="1" w:after="100" w:afterAutospacing="1" w:line="300" w:lineRule="auto"/>
              <w:rPr>
                <w:rFonts w:ascii="Segoe UI" w:eastAsia="Segoe UI" w:hAnsi="Segoe UI" w:cs="Segoe UI"/>
                <w:sz w:val="20"/>
                <w:szCs w:val="20"/>
              </w:rPr>
            </w:pPr>
            <w:r w:rsidRPr="3ED5736A">
              <w:rPr>
                <w:rFonts w:ascii="Segoe UI" w:eastAsia="Segoe UI" w:hAnsi="Segoe UI" w:cs="Segoe UI"/>
                <w:b/>
                <w:bCs/>
                <w:sz w:val="20"/>
                <w:szCs w:val="20"/>
              </w:rPr>
              <w:t>PLC §25–§26</w:t>
            </w:r>
          </w:p>
        </w:tc>
      </w:tr>
      <w:tr w:rsidR="006A1030" w14:paraId="42AD49FD" w14:textId="77777777" w:rsidTr="00D86083">
        <w:trPr>
          <w:trHeight w:val="300"/>
        </w:trPr>
        <w:tc>
          <w:tcPr>
            <w:tcW w:w="288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42883E9E"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Poor partner performance (identify → intervene → escalate)</w:t>
            </w:r>
          </w:p>
        </w:tc>
        <w:tc>
          <w:tcPr>
            <w:tcW w:w="147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7FD71E51"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§2.4</w:t>
            </w:r>
          </w:p>
        </w:tc>
        <w:tc>
          <w:tcPr>
            <w:tcW w:w="4792"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7AB31158" w14:textId="77777777" w:rsidR="006A1030" w:rsidRDefault="006A1030" w:rsidP="00D86083">
            <w:pPr>
              <w:spacing w:before="100" w:beforeAutospacing="1" w:after="100" w:afterAutospacing="1" w:line="300" w:lineRule="auto"/>
              <w:rPr>
                <w:rFonts w:ascii="Segoe UI" w:eastAsia="Segoe UI" w:hAnsi="Segoe UI" w:cs="Segoe UI"/>
                <w:sz w:val="20"/>
                <w:szCs w:val="20"/>
              </w:rPr>
            </w:pPr>
            <w:r w:rsidRPr="3ED5736A">
              <w:rPr>
                <w:rFonts w:ascii="Segoe UI" w:eastAsia="Segoe UI" w:hAnsi="Segoe UI" w:cs="Segoe UI"/>
                <w:b/>
                <w:bCs/>
                <w:sz w:val="20"/>
                <w:szCs w:val="20"/>
              </w:rPr>
              <w:t>PLC §18.1–§18.5</w:t>
            </w:r>
          </w:p>
        </w:tc>
      </w:tr>
      <w:tr w:rsidR="006A1030" w14:paraId="0E4F055D" w14:textId="77777777" w:rsidTr="00D86083">
        <w:trPr>
          <w:trHeight w:val="300"/>
        </w:trPr>
        <w:tc>
          <w:tcPr>
            <w:tcW w:w="288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0CFC53D8"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Adaptability (scaling/changes over time)</w:t>
            </w:r>
          </w:p>
        </w:tc>
        <w:tc>
          <w:tcPr>
            <w:tcW w:w="1470"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47292C48" w14:textId="77777777" w:rsidR="006A1030" w:rsidRDefault="006A1030" w:rsidP="00D86083">
            <w:pPr>
              <w:spacing w:before="100" w:beforeAutospacing="1" w:after="100" w:afterAutospacing="1" w:line="300" w:lineRule="auto"/>
              <w:rPr>
                <w:rFonts w:ascii="Segoe UI" w:eastAsia="Segoe UI" w:hAnsi="Segoe UI" w:cs="Segoe UI"/>
                <w:sz w:val="22"/>
                <w:szCs w:val="22"/>
              </w:rPr>
            </w:pPr>
            <w:r w:rsidRPr="3ED5736A">
              <w:rPr>
                <w:rFonts w:ascii="Segoe UI" w:eastAsia="Segoe UI" w:hAnsi="Segoe UI" w:cs="Segoe UI"/>
                <w:sz w:val="20"/>
                <w:szCs w:val="20"/>
              </w:rPr>
              <w:t>§2.5</w:t>
            </w:r>
          </w:p>
        </w:tc>
        <w:tc>
          <w:tcPr>
            <w:tcW w:w="4792" w:type="dxa"/>
            <w:tcBorders>
              <w:top w:val="single" w:sz="6" w:space="0" w:color="E6E6E6"/>
              <w:left w:val="single" w:sz="6" w:space="0" w:color="E6E6E6"/>
              <w:bottom w:val="single" w:sz="6" w:space="0" w:color="E6E6E6"/>
              <w:right w:val="single" w:sz="6" w:space="0" w:color="E6E6E6"/>
            </w:tcBorders>
            <w:shd w:val="clear" w:color="auto" w:fill="D1D1D1" w:themeFill="background2" w:themeFillShade="E6"/>
            <w:vAlign w:val="center"/>
          </w:tcPr>
          <w:p w14:paraId="1194A372" w14:textId="77777777" w:rsidR="006A1030" w:rsidRDefault="006A1030" w:rsidP="00D86083">
            <w:pPr>
              <w:spacing w:before="100" w:beforeAutospacing="1" w:after="100" w:afterAutospacing="1" w:line="300" w:lineRule="auto"/>
              <w:rPr>
                <w:rFonts w:ascii="Segoe UI" w:eastAsia="Segoe UI" w:hAnsi="Segoe UI" w:cs="Segoe UI"/>
                <w:sz w:val="20"/>
                <w:szCs w:val="20"/>
              </w:rPr>
            </w:pPr>
            <w:r w:rsidRPr="3ED5736A">
              <w:rPr>
                <w:rFonts w:ascii="Segoe UI" w:eastAsia="Segoe UI" w:hAnsi="Segoe UI" w:cs="Segoe UI"/>
                <w:b/>
                <w:bCs/>
                <w:sz w:val="20"/>
                <w:szCs w:val="20"/>
              </w:rPr>
              <w:t>PLC §15–§21</w:t>
            </w:r>
            <w:r w:rsidRPr="3ED5736A">
              <w:rPr>
                <w:rFonts w:ascii="Segoe UI" w:eastAsia="Segoe UI" w:hAnsi="Segoe UI" w:cs="Segoe UI"/>
                <w:sz w:val="20"/>
                <w:szCs w:val="20"/>
              </w:rPr>
              <w:t xml:space="preserve">; </w:t>
            </w:r>
            <w:r w:rsidRPr="3ED5736A">
              <w:rPr>
                <w:rFonts w:ascii="Segoe UI" w:eastAsia="Segoe UI" w:hAnsi="Segoe UI" w:cs="Segoe UI"/>
                <w:b/>
                <w:bCs/>
                <w:sz w:val="20"/>
                <w:szCs w:val="20"/>
              </w:rPr>
              <w:t>POM §27</w:t>
            </w:r>
          </w:p>
        </w:tc>
      </w:tr>
    </w:tbl>
    <w:p w14:paraId="088D7610" w14:textId="77777777" w:rsidR="006A1030" w:rsidRDefault="006A1030" w:rsidP="006A1030">
      <w:pPr>
        <w:spacing w:before="100" w:beforeAutospacing="1" w:after="100" w:afterAutospacing="1"/>
        <w:rPr>
          <w:rFonts w:ascii="Segoe UI" w:eastAsia="Segoe UI" w:hAnsi="Segoe UI" w:cs="Segoe UI"/>
        </w:rPr>
      </w:pPr>
    </w:p>
    <w:p w14:paraId="35F6FCE9" w14:textId="77777777" w:rsidR="006A1030" w:rsidRDefault="006A1030" w:rsidP="006A1030">
      <w:pPr>
        <w:pStyle w:val="Heading3"/>
        <w:spacing w:before="100" w:beforeAutospacing="1" w:after="100" w:afterAutospacing="1" w:line="300" w:lineRule="auto"/>
        <w:rPr>
          <w:rFonts w:ascii="Segoe UI" w:eastAsia="Segoe UI" w:hAnsi="Segoe UI" w:cs="Segoe UI"/>
          <w:b/>
          <w:bCs/>
          <w:sz w:val="32"/>
          <w:szCs w:val="32"/>
        </w:rPr>
      </w:pPr>
      <w:bookmarkStart w:id="16" w:name="_Toc227336147"/>
      <w:r w:rsidRPr="18D3A709">
        <w:rPr>
          <w:rFonts w:ascii="Segoe UI" w:eastAsia="Segoe UI" w:hAnsi="Segoe UI" w:cs="Segoe UI"/>
          <w:b/>
          <w:bCs/>
        </w:rPr>
        <w:t>Document References (University sources)</w:t>
      </w:r>
      <w:bookmarkEnd w:id="16"/>
    </w:p>
    <w:p w14:paraId="5F5139DB" w14:textId="77777777" w:rsidR="006A1030" w:rsidRDefault="006A1030" w:rsidP="006A1030">
      <w:pPr>
        <w:pStyle w:val="ListParagraph"/>
        <w:numPr>
          <w:ilvl w:val="0"/>
          <w:numId w:val="1"/>
        </w:numPr>
        <w:spacing w:before="100" w:beforeAutospacing="1" w:after="100" w:afterAutospacing="1" w:line="300" w:lineRule="auto"/>
        <w:rPr>
          <w:rFonts w:ascii="Segoe UI" w:eastAsia="Segoe UI" w:hAnsi="Segoe UI" w:cs="Segoe UI"/>
          <w:color w:val="464FEB"/>
          <w:sz w:val="22"/>
          <w:szCs w:val="22"/>
        </w:rPr>
      </w:pPr>
      <w:hyperlink r:id="rId11">
        <w:r w:rsidRPr="3ED5736A">
          <w:rPr>
            <w:rStyle w:val="Hyperlink"/>
            <w:rFonts w:ascii="Segoe UI" w:eastAsia="Segoe UI" w:hAnsi="Segoe UI" w:cs="Segoe UI"/>
            <w:b/>
            <w:bCs/>
            <w:color w:val="464FEB"/>
            <w:sz w:val="22"/>
            <w:szCs w:val="22"/>
            <w:u w:val="none"/>
          </w:rPr>
          <w:t>Collaborative Partnerships Operational Manual 2025‑26 (POM)</w:t>
        </w:r>
      </w:hyperlink>
      <w:r w:rsidRPr="3ED5736A">
        <w:rPr>
          <w:rFonts w:ascii="Segoe UI" w:eastAsia="Segoe UI" w:hAnsi="Segoe UI" w:cs="Segoe UI"/>
          <w:sz w:val="22"/>
          <w:szCs w:val="22"/>
        </w:rPr>
        <w:t xml:space="preserve"> — operational responsibilities, governance and quality procedures for collaborative provision. </w:t>
      </w:r>
    </w:p>
    <w:p w14:paraId="4A255DC6" w14:textId="77777777" w:rsidR="006A1030" w:rsidRDefault="006A1030" w:rsidP="006A1030">
      <w:pPr>
        <w:pStyle w:val="ListParagraph"/>
        <w:numPr>
          <w:ilvl w:val="0"/>
          <w:numId w:val="1"/>
        </w:numPr>
        <w:spacing w:before="100" w:beforeAutospacing="1" w:after="100" w:afterAutospacing="1" w:line="300" w:lineRule="auto"/>
        <w:rPr>
          <w:rFonts w:ascii="Segoe UI" w:eastAsia="Segoe UI" w:hAnsi="Segoe UI" w:cs="Segoe UI"/>
          <w:sz w:val="22"/>
          <w:szCs w:val="22"/>
        </w:rPr>
      </w:pPr>
      <w:hyperlink r:id="rId12">
        <w:r w:rsidRPr="3ED5736A">
          <w:rPr>
            <w:rStyle w:val="Hyperlink"/>
            <w:rFonts w:ascii="Segoe UI" w:eastAsia="Segoe UI" w:hAnsi="Segoe UI" w:cs="Segoe UI"/>
            <w:b/>
            <w:bCs/>
            <w:color w:val="464FEB"/>
            <w:sz w:val="22"/>
            <w:szCs w:val="22"/>
            <w:u w:val="none"/>
          </w:rPr>
          <w:t>Collaborative Academic Partnership Lifecycle Process 2025‑26 (PLC)</w:t>
        </w:r>
      </w:hyperlink>
      <w:r w:rsidRPr="3ED5736A">
        <w:rPr>
          <w:rFonts w:ascii="Segoe UI" w:eastAsia="Segoe UI" w:hAnsi="Segoe UI" w:cs="Segoe UI"/>
          <w:sz w:val="22"/>
          <w:szCs w:val="22"/>
        </w:rPr>
        <w:t xml:space="preserve"> — end‑to‑end lifecycle for due diligence, approval, monitoring, review, change control, and closure/teach‑out.</w:t>
      </w:r>
    </w:p>
    <w:p w14:paraId="44604C31" w14:textId="77777777" w:rsidR="006A1030" w:rsidRDefault="006A1030"/>
    <w:sectPr w:rsidR="006A1030" w:rsidSect="006A103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AE2DE" w14:textId="77777777" w:rsidR="006D49BD" w:rsidRDefault="006D49BD">
      <w:pPr>
        <w:spacing w:after="0" w:line="240" w:lineRule="auto"/>
      </w:pPr>
      <w:r>
        <w:separator/>
      </w:r>
    </w:p>
  </w:endnote>
  <w:endnote w:type="continuationSeparator" w:id="0">
    <w:p w14:paraId="44FC7869" w14:textId="77777777" w:rsidR="006D49BD" w:rsidRDefault="006D4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988867"/>
      <w:docPartObj>
        <w:docPartGallery w:val="Page Numbers (Bottom of Page)"/>
        <w:docPartUnique/>
      </w:docPartObj>
    </w:sdtPr>
    <w:sdtEndPr>
      <w:rPr>
        <w:noProof/>
      </w:rPr>
    </w:sdtEndPr>
    <w:sdtContent>
      <w:p w14:paraId="40E83BBE" w14:textId="77777777" w:rsidR="006A1030" w:rsidRDefault="006A10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48C0E4" w14:textId="77777777" w:rsidR="006A1030" w:rsidRDefault="006A1030" w:rsidP="2304C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1E7F0" w14:textId="77777777" w:rsidR="006D49BD" w:rsidRDefault="006D49BD">
      <w:pPr>
        <w:spacing w:after="0" w:line="240" w:lineRule="auto"/>
      </w:pPr>
      <w:r>
        <w:separator/>
      </w:r>
    </w:p>
  </w:footnote>
  <w:footnote w:type="continuationSeparator" w:id="0">
    <w:p w14:paraId="43F4A572" w14:textId="77777777" w:rsidR="006D49BD" w:rsidRDefault="006D4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6A1030" w14:paraId="1A639A22" w14:textId="77777777" w:rsidTr="2304CBF3">
      <w:trPr>
        <w:trHeight w:val="300"/>
      </w:trPr>
      <w:tc>
        <w:tcPr>
          <w:tcW w:w="3005" w:type="dxa"/>
        </w:tcPr>
        <w:p w14:paraId="168B5F41" w14:textId="77777777" w:rsidR="006A1030" w:rsidRDefault="006A1030" w:rsidP="2304CBF3">
          <w:pPr>
            <w:pStyle w:val="Header"/>
            <w:ind w:left="-115"/>
          </w:pPr>
        </w:p>
      </w:tc>
      <w:tc>
        <w:tcPr>
          <w:tcW w:w="3005" w:type="dxa"/>
        </w:tcPr>
        <w:p w14:paraId="7BD210C9" w14:textId="77777777" w:rsidR="006A1030" w:rsidRDefault="006A1030" w:rsidP="2304CBF3">
          <w:pPr>
            <w:pStyle w:val="Header"/>
            <w:jc w:val="center"/>
          </w:pPr>
        </w:p>
      </w:tc>
      <w:tc>
        <w:tcPr>
          <w:tcW w:w="3005" w:type="dxa"/>
        </w:tcPr>
        <w:p w14:paraId="44DAD67F" w14:textId="77777777" w:rsidR="006A1030" w:rsidRDefault="006A1030" w:rsidP="2304CBF3">
          <w:pPr>
            <w:pStyle w:val="Header"/>
            <w:ind w:right="-115"/>
            <w:jc w:val="right"/>
          </w:pPr>
        </w:p>
      </w:tc>
    </w:tr>
  </w:tbl>
  <w:p w14:paraId="7A1CD594" w14:textId="77777777" w:rsidR="006A1030" w:rsidRDefault="006A1030" w:rsidP="2304C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A10B8"/>
    <w:multiLevelType w:val="hybridMultilevel"/>
    <w:tmpl w:val="4A063F9E"/>
    <w:lvl w:ilvl="0" w:tplc="5A56EC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BC8C8"/>
    <w:multiLevelType w:val="hybridMultilevel"/>
    <w:tmpl w:val="26E696C4"/>
    <w:lvl w:ilvl="0" w:tplc="501A5514">
      <w:start w:val="1"/>
      <w:numFmt w:val="bullet"/>
      <w:lvlText w:val=""/>
      <w:lvlJc w:val="left"/>
      <w:pPr>
        <w:ind w:left="720" w:hanging="360"/>
      </w:pPr>
      <w:rPr>
        <w:rFonts w:ascii="Symbol" w:hAnsi="Symbol" w:hint="default"/>
      </w:rPr>
    </w:lvl>
    <w:lvl w:ilvl="1" w:tplc="6B5E562E">
      <w:start w:val="1"/>
      <w:numFmt w:val="bullet"/>
      <w:lvlText w:val="o"/>
      <w:lvlJc w:val="left"/>
      <w:pPr>
        <w:ind w:left="1440" w:hanging="360"/>
      </w:pPr>
      <w:rPr>
        <w:rFonts w:ascii="Courier New" w:hAnsi="Courier New" w:hint="default"/>
      </w:rPr>
    </w:lvl>
    <w:lvl w:ilvl="2" w:tplc="8DFA3834">
      <w:start w:val="1"/>
      <w:numFmt w:val="bullet"/>
      <w:lvlText w:val=""/>
      <w:lvlJc w:val="left"/>
      <w:pPr>
        <w:ind w:left="2160" w:hanging="360"/>
      </w:pPr>
      <w:rPr>
        <w:rFonts w:ascii="Wingdings" w:hAnsi="Wingdings" w:hint="default"/>
      </w:rPr>
    </w:lvl>
    <w:lvl w:ilvl="3" w:tplc="A4D64CEC">
      <w:start w:val="1"/>
      <w:numFmt w:val="bullet"/>
      <w:lvlText w:val=""/>
      <w:lvlJc w:val="left"/>
      <w:pPr>
        <w:ind w:left="2880" w:hanging="360"/>
      </w:pPr>
      <w:rPr>
        <w:rFonts w:ascii="Symbol" w:hAnsi="Symbol" w:hint="default"/>
      </w:rPr>
    </w:lvl>
    <w:lvl w:ilvl="4" w:tplc="54C6C40E">
      <w:start w:val="1"/>
      <w:numFmt w:val="bullet"/>
      <w:lvlText w:val="o"/>
      <w:lvlJc w:val="left"/>
      <w:pPr>
        <w:ind w:left="3600" w:hanging="360"/>
      </w:pPr>
      <w:rPr>
        <w:rFonts w:ascii="Courier New" w:hAnsi="Courier New" w:hint="default"/>
      </w:rPr>
    </w:lvl>
    <w:lvl w:ilvl="5" w:tplc="D8DC1F62">
      <w:start w:val="1"/>
      <w:numFmt w:val="bullet"/>
      <w:lvlText w:val=""/>
      <w:lvlJc w:val="left"/>
      <w:pPr>
        <w:ind w:left="4320" w:hanging="360"/>
      </w:pPr>
      <w:rPr>
        <w:rFonts w:ascii="Wingdings" w:hAnsi="Wingdings" w:hint="default"/>
      </w:rPr>
    </w:lvl>
    <w:lvl w:ilvl="6" w:tplc="4E8845CC">
      <w:start w:val="1"/>
      <w:numFmt w:val="bullet"/>
      <w:lvlText w:val=""/>
      <w:lvlJc w:val="left"/>
      <w:pPr>
        <w:ind w:left="5040" w:hanging="360"/>
      </w:pPr>
      <w:rPr>
        <w:rFonts w:ascii="Symbol" w:hAnsi="Symbol" w:hint="default"/>
      </w:rPr>
    </w:lvl>
    <w:lvl w:ilvl="7" w:tplc="1AFCA7E0">
      <w:start w:val="1"/>
      <w:numFmt w:val="bullet"/>
      <w:lvlText w:val="o"/>
      <w:lvlJc w:val="left"/>
      <w:pPr>
        <w:ind w:left="5760" w:hanging="360"/>
      </w:pPr>
      <w:rPr>
        <w:rFonts w:ascii="Courier New" w:hAnsi="Courier New" w:hint="default"/>
      </w:rPr>
    </w:lvl>
    <w:lvl w:ilvl="8" w:tplc="DA4C3B4A">
      <w:start w:val="1"/>
      <w:numFmt w:val="bullet"/>
      <w:lvlText w:val=""/>
      <w:lvlJc w:val="left"/>
      <w:pPr>
        <w:ind w:left="6480" w:hanging="360"/>
      </w:pPr>
      <w:rPr>
        <w:rFonts w:ascii="Wingdings" w:hAnsi="Wingdings" w:hint="default"/>
      </w:rPr>
    </w:lvl>
  </w:abstractNum>
  <w:abstractNum w:abstractNumId="2" w15:restartNumberingAfterBreak="0">
    <w:nsid w:val="1F41D84E"/>
    <w:multiLevelType w:val="hybridMultilevel"/>
    <w:tmpl w:val="693A4374"/>
    <w:lvl w:ilvl="0" w:tplc="0D0E1590">
      <w:start w:val="1"/>
      <w:numFmt w:val="bullet"/>
      <w:lvlText w:val=""/>
      <w:lvlJc w:val="left"/>
      <w:pPr>
        <w:ind w:left="720" w:hanging="360"/>
      </w:pPr>
      <w:rPr>
        <w:rFonts w:ascii="Symbol" w:hAnsi="Symbol" w:hint="default"/>
      </w:rPr>
    </w:lvl>
    <w:lvl w:ilvl="1" w:tplc="8B28098A">
      <w:start w:val="1"/>
      <w:numFmt w:val="bullet"/>
      <w:lvlText w:val="o"/>
      <w:lvlJc w:val="left"/>
      <w:pPr>
        <w:ind w:left="1440" w:hanging="360"/>
      </w:pPr>
      <w:rPr>
        <w:rFonts w:ascii="Courier New" w:hAnsi="Courier New" w:hint="default"/>
      </w:rPr>
    </w:lvl>
    <w:lvl w:ilvl="2" w:tplc="39725342">
      <w:start w:val="1"/>
      <w:numFmt w:val="bullet"/>
      <w:lvlText w:val=""/>
      <w:lvlJc w:val="left"/>
      <w:pPr>
        <w:ind w:left="2160" w:hanging="360"/>
      </w:pPr>
      <w:rPr>
        <w:rFonts w:ascii="Wingdings" w:hAnsi="Wingdings" w:hint="default"/>
      </w:rPr>
    </w:lvl>
    <w:lvl w:ilvl="3" w:tplc="A5AAEA66">
      <w:start w:val="1"/>
      <w:numFmt w:val="bullet"/>
      <w:lvlText w:val=""/>
      <w:lvlJc w:val="left"/>
      <w:pPr>
        <w:ind w:left="2880" w:hanging="360"/>
      </w:pPr>
      <w:rPr>
        <w:rFonts w:ascii="Symbol" w:hAnsi="Symbol" w:hint="default"/>
      </w:rPr>
    </w:lvl>
    <w:lvl w:ilvl="4" w:tplc="F5AA2988">
      <w:start w:val="1"/>
      <w:numFmt w:val="bullet"/>
      <w:lvlText w:val="o"/>
      <w:lvlJc w:val="left"/>
      <w:pPr>
        <w:ind w:left="3600" w:hanging="360"/>
      </w:pPr>
      <w:rPr>
        <w:rFonts w:ascii="Courier New" w:hAnsi="Courier New" w:hint="default"/>
      </w:rPr>
    </w:lvl>
    <w:lvl w:ilvl="5" w:tplc="ACDE343E">
      <w:start w:val="1"/>
      <w:numFmt w:val="bullet"/>
      <w:lvlText w:val=""/>
      <w:lvlJc w:val="left"/>
      <w:pPr>
        <w:ind w:left="4320" w:hanging="360"/>
      </w:pPr>
      <w:rPr>
        <w:rFonts w:ascii="Wingdings" w:hAnsi="Wingdings" w:hint="default"/>
      </w:rPr>
    </w:lvl>
    <w:lvl w:ilvl="6" w:tplc="A36A9D90">
      <w:start w:val="1"/>
      <w:numFmt w:val="bullet"/>
      <w:lvlText w:val=""/>
      <w:lvlJc w:val="left"/>
      <w:pPr>
        <w:ind w:left="5040" w:hanging="360"/>
      </w:pPr>
      <w:rPr>
        <w:rFonts w:ascii="Symbol" w:hAnsi="Symbol" w:hint="default"/>
      </w:rPr>
    </w:lvl>
    <w:lvl w:ilvl="7" w:tplc="35FC50D4">
      <w:start w:val="1"/>
      <w:numFmt w:val="bullet"/>
      <w:lvlText w:val="o"/>
      <w:lvlJc w:val="left"/>
      <w:pPr>
        <w:ind w:left="5760" w:hanging="360"/>
      </w:pPr>
      <w:rPr>
        <w:rFonts w:ascii="Courier New" w:hAnsi="Courier New" w:hint="default"/>
      </w:rPr>
    </w:lvl>
    <w:lvl w:ilvl="8" w:tplc="698CA3A8">
      <w:start w:val="1"/>
      <w:numFmt w:val="bullet"/>
      <w:lvlText w:val=""/>
      <w:lvlJc w:val="left"/>
      <w:pPr>
        <w:ind w:left="6480" w:hanging="360"/>
      </w:pPr>
      <w:rPr>
        <w:rFonts w:ascii="Wingdings" w:hAnsi="Wingdings" w:hint="default"/>
      </w:rPr>
    </w:lvl>
  </w:abstractNum>
  <w:abstractNum w:abstractNumId="3" w15:restartNumberingAfterBreak="0">
    <w:nsid w:val="345FE7A7"/>
    <w:multiLevelType w:val="hybridMultilevel"/>
    <w:tmpl w:val="871A5226"/>
    <w:lvl w:ilvl="0" w:tplc="D08E5BD2">
      <w:start w:val="1"/>
      <w:numFmt w:val="bullet"/>
      <w:lvlText w:val=""/>
      <w:lvlJc w:val="left"/>
      <w:pPr>
        <w:ind w:left="720" w:hanging="360"/>
      </w:pPr>
      <w:rPr>
        <w:rFonts w:ascii="Symbol" w:hAnsi="Symbol" w:hint="default"/>
      </w:rPr>
    </w:lvl>
    <w:lvl w:ilvl="1" w:tplc="F8E289D2">
      <w:start w:val="1"/>
      <w:numFmt w:val="bullet"/>
      <w:lvlText w:val="o"/>
      <w:lvlJc w:val="left"/>
      <w:pPr>
        <w:ind w:left="1440" w:hanging="360"/>
      </w:pPr>
      <w:rPr>
        <w:rFonts w:ascii="Courier New" w:hAnsi="Courier New" w:hint="default"/>
      </w:rPr>
    </w:lvl>
    <w:lvl w:ilvl="2" w:tplc="B0F4038A">
      <w:start w:val="1"/>
      <w:numFmt w:val="bullet"/>
      <w:lvlText w:val=""/>
      <w:lvlJc w:val="left"/>
      <w:pPr>
        <w:ind w:left="2160" w:hanging="360"/>
      </w:pPr>
      <w:rPr>
        <w:rFonts w:ascii="Wingdings" w:hAnsi="Wingdings" w:hint="default"/>
      </w:rPr>
    </w:lvl>
    <w:lvl w:ilvl="3" w:tplc="24D423B2">
      <w:start w:val="1"/>
      <w:numFmt w:val="bullet"/>
      <w:lvlText w:val=""/>
      <w:lvlJc w:val="left"/>
      <w:pPr>
        <w:ind w:left="2880" w:hanging="360"/>
      </w:pPr>
      <w:rPr>
        <w:rFonts w:ascii="Symbol" w:hAnsi="Symbol" w:hint="default"/>
      </w:rPr>
    </w:lvl>
    <w:lvl w:ilvl="4" w:tplc="A92C7CB0">
      <w:start w:val="1"/>
      <w:numFmt w:val="bullet"/>
      <w:lvlText w:val="o"/>
      <w:lvlJc w:val="left"/>
      <w:pPr>
        <w:ind w:left="3600" w:hanging="360"/>
      </w:pPr>
      <w:rPr>
        <w:rFonts w:ascii="Courier New" w:hAnsi="Courier New" w:hint="default"/>
      </w:rPr>
    </w:lvl>
    <w:lvl w:ilvl="5" w:tplc="E8906C82">
      <w:start w:val="1"/>
      <w:numFmt w:val="bullet"/>
      <w:lvlText w:val=""/>
      <w:lvlJc w:val="left"/>
      <w:pPr>
        <w:ind w:left="4320" w:hanging="360"/>
      </w:pPr>
      <w:rPr>
        <w:rFonts w:ascii="Wingdings" w:hAnsi="Wingdings" w:hint="default"/>
      </w:rPr>
    </w:lvl>
    <w:lvl w:ilvl="6" w:tplc="58D6677A">
      <w:start w:val="1"/>
      <w:numFmt w:val="bullet"/>
      <w:lvlText w:val=""/>
      <w:lvlJc w:val="left"/>
      <w:pPr>
        <w:ind w:left="5040" w:hanging="360"/>
      </w:pPr>
      <w:rPr>
        <w:rFonts w:ascii="Symbol" w:hAnsi="Symbol" w:hint="default"/>
      </w:rPr>
    </w:lvl>
    <w:lvl w:ilvl="7" w:tplc="4D204908">
      <w:start w:val="1"/>
      <w:numFmt w:val="bullet"/>
      <w:lvlText w:val="o"/>
      <w:lvlJc w:val="left"/>
      <w:pPr>
        <w:ind w:left="5760" w:hanging="360"/>
      </w:pPr>
      <w:rPr>
        <w:rFonts w:ascii="Courier New" w:hAnsi="Courier New" w:hint="default"/>
      </w:rPr>
    </w:lvl>
    <w:lvl w:ilvl="8" w:tplc="1076E00E">
      <w:start w:val="1"/>
      <w:numFmt w:val="bullet"/>
      <w:lvlText w:val=""/>
      <w:lvlJc w:val="left"/>
      <w:pPr>
        <w:ind w:left="6480" w:hanging="360"/>
      </w:pPr>
      <w:rPr>
        <w:rFonts w:ascii="Wingdings" w:hAnsi="Wingdings" w:hint="default"/>
      </w:rPr>
    </w:lvl>
  </w:abstractNum>
  <w:abstractNum w:abstractNumId="4" w15:restartNumberingAfterBreak="0">
    <w:nsid w:val="590708D9"/>
    <w:multiLevelType w:val="hybridMultilevel"/>
    <w:tmpl w:val="B9186AB6"/>
    <w:lvl w:ilvl="0" w:tplc="5A56EC80">
      <w:start w:val="1"/>
      <w:numFmt w:val="bullet"/>
      <w:lvlText w:val=""/>
      <w:lvlJc w:val="left"/>
      <w:pPr>
        <w:ind w:left="720" w:hanging="360"/>
      </w:pPr>
      <w:rPr>
        <w:rFonts w:ascii="Symbol" w:hAnsi="Symbol" w:hint="default"/>
      </w:rPr>
    </w:lvl>
    <w:lvl w:ilvl="1" w:tplc="96105AD8">
      <w:start w:val="1"/>
      <w:numFmt w:val="bullet"/>
      <w:lvlText w:val="o"/>
      <w:lvlJc w:val="left"/>
      <w:pPr>
        <w:ind w:left="1440" w:hanging="360"/>
      </w:pPr>
      <w:rPr>
        <w:rFonts w:ascii="Courier New" w:hAnsi="Courier New" w:hint="default"/>
      </w:rPr>
    </w:lvl>
    <w:lvl w:ilvl="2" w:tplc="68305E4C">
      <w:start w:val="1"/>
      <w:numFmt w:val="bullet"/>
      <w:lvlText w:val=""/>
      <w:lvlJc w:val="left"/>
      <w:pPr>
        <w:ind w:left="2160" w:hanging="360"/>
      </w:pPr>
      <w:rPr>
        <w:rFonts w:ascii="Wingdings" w:hAnsi="Wingdings" w:hint="default"/>
      </w:rPr>
    </w:lvl>
    <w:lvl w:ilvl="3" w:tplc="F790FA5A">
      <w:start w:val="1"/>
      <w:numFmt w:val="bullet"/>
      <w:lvlText w:val=""/>
      <w:lvlJc w:val="left"/>
      <w:pPr>
        <w:ind w:left="2880" w:hanging="360"/>
      </w:pPr>
      <w:rPr>
        <w:rFonts w:ascii="Symbol" w:hAnsi="Symbol" w:hint="default"/>
      </w:rPr>
    </w:lvl>
    <w:lvl w:ilvl="4" w:tplc="087E48F6">
      <w:start w:val="1"/>
      <w:numFmt w:val="bullet"/>
      <w:lvlText w:val="o"/>
      <w:lvlJc w:val="left"/>
      <w:pPr>
        <w:ind w:left="3600" w:hanging="360"/>
      </w:pPr>
      <w:rPr>
        <w:rFonts w:ascii="Courier New" w:hAnsi="Courier New" w:hint="default"/>
      </w:rPr>
    </w:lvl>
    <w:lvl w:ilvl="5" w:tplc="578AE296">
      <w:start w:val="1"/>
      <w:numFmt w:val="bullet"/>
      <w:lvlText w:val=""/>
      <w:lvlJc w:val="left"/>
      <w:pPr>
        <w:ind w:left="4320" w:hanging="360"/>
      </w:pPr>
      <w:rPr>
        <w:rFonts w:ascii="Wingdings" w:hAnsi="Wingdings" w:hint="default"/>
      </w:rPr>
    </w:lvl>
    <w:lvl w:ilvl="6" w:tplc="3DCC075E">
      <w:start w:val="1"/>
      <w:numFmt w:val="bullet"/>
      <w:lvlText w:val=""/>
      <w:lvlJc w:val="left"/>
      <w:pPr>
        <w:ind w:left="5040" w:hanging="360"/>
      </w:pPr>
      <w:rPr>
        <w:rFonts w:ascii="Symbol" w:hAnsi="Symbol" w:hint="default"/>
      </w:rPr>
    </w:lvl>
    <w:lvl w:ilvl="7" w:tplc="2116A7AE">
      <w:start w:val="1"/>
      <w:numFmt w:val="bullet"/>
      <w:lvlText w:val="o"/>
      <w:lvlJc w:val="left"/>
      <w:pPr>
        <w:ind w:left="5760" w:hanging="360"/>
      </w:pPr>
      <w:rPr>
        <w:rFonts w:ascii="Courier New" w:hAnsi="Courier New" w:hint="default"/>
      </w:rPr>
    </w:lvl>
    <w:lvl w:ilvl="8" w:tplc="630405FC">
      <w:start w:val="1"/>
      <w:numFmt w:val="bullet"/>
      <w:lvlText w:val=""/>
      <w:lvlJc w:val="left"/>
      <w:pPr>
        <w:ind w:left="6480" w:hanging="360"/>
      </w:pPr>
      <w:rPr>
        <w:rFonts w:ascii="Wingdings" w:hAnsi="Wingdings" w:hint="default"/>
      </w:rPr>
    </w:lvl>
  </w:abstractNum>
  <w:abstractNum w:abstractNumId="5" w15:restartNumberingAfterBreak="0">
    <w:nsid w:val="79332E72"/>
    <w:multiLevelType w:val="hybridMultilevel"/>
    <w:tmpl w:val="C786EF2C"/>
    <w:lvl w:ilvl="0" w:tplc="174E7A34">
      <w:start w:val="1"/>
      <w:numFmt w:val="bullet"/>
      <w:lvlText w:val=""/>
      <w:lvlJc w:val="left"/>
      <w:pPr>
        <w:ind w:left="720" w:hanging="360"/>
      </w:pPr>
      <w:rPr>
        <w:rFonts w:ascii="Symbol" w:hAnsi="Symbol" w:hint="default"/>
      </w:rPr>
    </w:lvl>
    <w:lvl w:ilvl="1" w:tplc="B8A2C796">
      <w:start w:val="1"/>
      <w:numFmt w:val="bullet"/>
      <w:lvlText w:val="o"/>
      <w:lvlJc w:val="left"/>
      <w:pPr>
        <w:ind w:left="1440" w:hanging="360"/>
      </w:pPr>
      <w:rPr>
        <w:rFonts w:ascii="Courier New" w:hAnsi="Courier New" w:hint="default"/>
      </w:rPr>
    </w:lvl>
    <w:lvl w:ilvl="2" w:tplc="7EC6FEEA">
      <w:start w:val="1"/>
      <w:numFmt w:val="bullet"/>
      <w:lvlText w:val=""/>
      <w:lvlJc w:val="left"/>
      <w:pPr>
        <w:ind w:left="2160" w:hanging="360"/>
      </w:pPr>
      <w:rPr>
        <w:rFonts w:ascii="Wingdings" w:hAnsi="Wingdings" w:hint="default"/>
      </w:rPr>
    </w:lvl>
    <w:lvl w:ilvl="3" w:tplc="E12E5884">
      <w:start w:val="1"/>
      <w:numFmt w:val="bullet"/>
      <w:lvlText w:val=""/>
      <w:lvlJc w:val="left"/>
      <w:pPr>
        <w:ind w:left="2880" w:hanging="360"/>
      </w:pPr>
      <w:rPr>
        <w:rFonts w:ascii="Symbol" w:hAnsi="Symbol" w:hint="default"/>
      </w:rPr>
    </w:lvl>
    <w:lvl w:ilvl="4" w:tplc="287467C8">
      <w:start w:val="1"/>
      <w:numFmt w:val="bullet"/>
      <w:lvlText w:val="o"/>
      <w:lvlJc w:val="left"/>
      <w:pPr>
        <w:ind w:left="3600" w:hanging="360"/>
      </w:pPr>
      <w:rPr>
        <w:rFonts w:ascii="Courier New" w:hAnsi="Courier New" w:hint="default"/>
      </w:rPr>
    </w:lvl>
    <w:lvl w:ilvl="5" w:tplc="C860A0DE">
      <w:start w:val="1"/>
      <w:numFmt w:val="bullet"/>
      <w:lvlText w:val=""/>
      <w:lvlJc w:val="left"/>
      <w:pPr>
        <w:ind w:left="4320" w:hanging="360"/>
      </w:pPr>
      <w:rPr>
        <w:rFonts w:ascii="Wingdings" w:hAnsi="Wingdings" w:hint="default"/>
      </w:rPr>
    </w:lvl>
    <w:lvl w:ilvl="6" w:tplc="F62A310E">
      <w:start w:val="1"/>
      <w:numFmt w:val="bullet"/>
      <w:lvlText w:val=""/>
      <w:lvlJc w:val="left"/>
      <w:pPr>
        <w:ind w:left="5040" w:hanging="360"/>
      </w:pPr>
      <w:rPr>
        <w:rFonts w:ascii="Symbol" w:hAnsi="Symbol" w:hint="default"/>
      </w:rPr>
    </w:lvl>
    <w:lvl w:ilvl="7" w:tplc="3B2C54BE">
      <w:start w:val="1"/>
      <w:numFmt w:val="bullet"/>
      <w:lvlText w:val="o"/>
      <w:lvlJc w:val="left"/>
      <w:pPr>
        <w:ind w:left="5760" w:hanging="360"/>
      </w:pPr>
      <w:rPr>
        <w:rFonts w:ascii="Courier New" w:hAnsi="Courier New" w:hint="default"/>
      </w:rPr>
    </w:lvl>
    <w:lvl w:ilvl="8" w:tplc="6F36CC9E">
      <w:start w:val="1"/>
      <w:numFmt w:val="bullet"/>
      <w:lvlText w:val=""/>
      <w:lvlJc w:val="left"/>
      <w:pPr>
        <w:ind w:left="6480" w:hanging="360"/>
      </w:pPr>
      <w:rPr>
        <w:rFonts w:ascii="Wingdings" w:hAnsi="Wingdings" w:hint="default"/>
      </w:rPr>
    </w:lvl>
  </w:abstractNum>
  <w:abstractNum w:abstractNumId="6" w15:restartNumberingAfterBreak="0">
    <w:nsid w:val="7FC42E20"/>
    <w:multiLevelType w:val="hybridMultilevel"/>
    <w:tmpl w:val="B8CE3AAE"/>
    <w:lvl w:ilvl="0" w:tplc="A71EDA08">
      <w:start w:val="1"/>
      <w:numFmt w:val="bullet"/>
      <w:lvlText w:val=""/>
      <w:lvlJc w:val="left"/>
      <w:pPr>
        <w:ind w:left="720" w:hanging="360"/>
      </w:pPr>
      <w:rPr>
        <w:rFonts w:ascii="Symbol" w:hAnsi="Symbol" w:hint="default"/>
      </w:rPr>
    </w:lvl>
    <w:lvl w:ilvl="1" w:tplc="0730FCB2">
      <w:start w:val="1"/>
      <w:numFmt w:val="bullet"/>
      <w:lvlText w:val="o"/>
      <w:lvlJc w:val="left"/>
      <w:pPr>
        <w:ind w:left="1440" w:hanging="360"/>
      </w:pPr>
      <w:rPr>
        <w:rFonts w:ascii="Courier New" w:hAnsi="Courier New" w:hint="default"/>
      </w:rPr>
    </w:lvl>
    <w:lvl w:ilvl="2" w:tplc="C7326544">
      <w:start w:val="1"/>
      <w:numFmt w:val="bullet"/>
      <w:lvlText w:val=""/>
      <w:lvlJc w:val="left"/>
      <w:pPr>
        <w:ind w:left="2160" w:hanging="360"/>
      </w:pPr>
      <w:rPr>
        <w:rFonts w:ascii="Wingdings" w:hAnsi="Wingdings" w:hint="default"/>
      </w:rPr>
    </w:lvl>
    <w:lvl w:ilvl="3" w:tplc="5D12D4E8">
      <w:start w:val="1"/>
      <w:numFmt w:val="bullet"/>
      <w:lvlText w:val=""/>
      <w:lvlJc w:val="left"/>
      <w:pPr>
        <w:ind w:left="2880" w:hanging="360"/>
      </w:pPr>
      <w:rPr>
        <w:rFonts w:ascii="Symbol" w:hAnsi="Symbol" w:hint="default"/>
      </w:rPr>
    </w:lvl>
    <w:lvl w:ilvl="4" w:tplc="862A88C4">
      <w:start w:val="1"/>
      <w:numFmt w:val="bullet"/>
      <w:lvlText w:val="o"/>
      <w:lvlJc w:val="left"/>
      <w:pPr>
        <w:ind w:left="3600" w:hanging="360"/>
      </w:pPr>
      <w:rPr>
        <w:rFonts w:ascii="Courier New" w:hAnsi="Courier New" w:hint="default"/>
      </w:rPr>
    </w:lvl>
    <w:lvl w:ilvl="5" w:tplc="57ACD426">
      <w:start w:val="1"/>
      <w:numFmt w:val="bullet"/>
      <w:lvlText w:val=""/>
      <w:lvlJc w:val="left"/>
      <w:pPr>
        <w:ind w:left="4320" w:hanging="360"/>
      </w:pPr>
      <w:rPr>
        <w:rFonts w:ascii="Wingdings" w:hAnsi="Wingdings" w:hint="default"/>
      </w:rPr>
    </w:lvl>
    <w:lvl w:ilvl="6" w:tplc="750A78E2">
      <w:start w:val="1"/>
      <w:numFmt w:val="bullet"/>
      <w:lvlText w:val=""/>
      <w:lvlJc w:val="left"/>
      <w:pPr>
        <w:ind w:left="5040" w:hanging="360"/>
      </w:pPr>
      <w:rPr>
        <w:rFonts w:ascii="Symbol" w:hAnsi="Symbol" w:hint="default"/>
      </w:rPr>
    </w:lvl>
    <w:lvl w:ilvl="7" w:tplc="DA8841D2">
      <w:start w:val="1"/>
      <w:numFmt w:val="bullet"/>
      <w:lvlText w:val="o"/>
      <w:lvlJc w:val="left"/>
      <w:pPr>
        <w:ind w:left="5760" w:hanging="360"/>
      </w:pPr>
      <w:rPr>
        <w:rFonts w:ascii="Courier New" w:hAnsi="Courier New" w:hint="default"/>
      </w:rPr>
    </w:lvl>
    <w:lvl w:ilvl="8" w:tplc="687863A4">
      <w:start w:val="1"/>
      <w:numFmt w:val="bullet"/>
      <w:lvlText w:val=""/>
      <w:lvlJc w:val="left"/>
      <w:pPr>
        <w:ind w:left="6480" w:hanging="360"/>
      </w:pPr>
      <w:rPr>
        <w:rFonts w:ascii="Wingdings" w:hAnsi="Wingdings" w:hint="default"/>
      </w:rPr>
    </w:lvl>
  </w:abstractNum>
  <w:num w:numId="1" w16cid:durableId="1634601538">
    <w:abstractNumId w:val="4"/>
  </w:num>
  <w:num w:numId="2" w16cid:durableId="148520362">
    <w:abstractNumId w:val="6"/>
  </w:num>
  <w:num w:numId="3" w16cid:durableId="1123572348">
    <w:abstractNumId w:val="2"/>
  </w:num>
  <w:num w:numId="4" w16cid:durableId="1893224845">
    <w:abstractNumId w:val="3"/>
  </w:num>
  <w:num w:numId="5" w16cid:durableId="1976790922">
    <w:abstractNumId w:val="1"/>
  </w:num>
  <w:num w:numId="6" w16cid:durableId="1873226948">
    <w:abstractNumId w:val="5"/>
  </w:num>
  <w:num w:numId="7" w16cid:durableId="1458063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30"/>
    <w:rsid w:val="00611818"/>
    <w:rsid w:val="006A1030"/>
    <w:rsid w:val="006D49BD"/>
    <w:rsid w:val="00926072"/>
    <w:rsid w:val="009862CE"/>
    <w:rsid w:val="00EA6A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9A33"/>
  <w15:chartTrackingRefBased/>
  <w15:docId w15:val="{64938E87-25AA-4D11-B5CB-CB2AAE2A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030"/>
  </w:style>
  <w:style w:type="paragraph" w:styleId="Heading1">
    <w:name w:val="heading 1"/>
    <w:basedOn w:val="Normal"/>
    <w:next w:val="Normal"/>
    <w:link w:val="Heading1Char"/>
    <w:uiPriority w:val="9"/>
    <w:qFormat/>
    <w:rsid w:val="006A1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1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0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0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0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0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10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0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0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0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030"/>
    <w:rPr>
      <w:rFonts w:eastAsiaTheme="majorEastAsia" w:cstheme="majorBidi"/>
      <w:color w:val="272727" w:themeColor="text1" w:themeTint="D8"/>
    </w:rPr>
  </w:style>
  <w:style w:type="paragraph" w:styleId="Title">
    <w:name w:val="Title"/>
    <w:basedOn w:val="Normal"/>
    <w:next w:val="Normal"/>
    <w:link w:val="TitleChar"/>
    <w:uiPriority w:val="10"/>
    <w:qFormat/>
    <w:rsid w:val="006A1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030"/>
    <w:pPr>
      <w:spacing w:before="160"/>
      <w:jc w:val="center"/>
    </w:pPr>
    <w:rPr>
      <w:i/>
      <w:iCs/>
      <w:color w:val="404040" w:themeColor="text1" w:themeTint="BF"/>
    </w:rPr>
  </w:style>
  <w:style w:type="character" w:customStyle="1" w:styleId="QuoteChar">
    <w:name w:val="Quote Char"/>
    <w:basedOn w:val="DefaultParagraphFont"/>
    <w:link w:val="Quote"/>
    <w:uiPriority w:val="29"/>
    <w:rsid w:val="006A1030"/>
    <w:rPr>
      <w:i/>
      <w:iCs/>
      <w:color w:val="404040" w:themeColor="text1" w:themeTint="BF"/>
    </w:rPr>
  </w:style>
  <w:style w:type="paragraph" w:styleId="ListParagraph">
    <w:name w:val="List Paragraph"/>
    <w:basedOn w:val="Normal"/>
    <w:link w:val="ListParagraphChar"/>
    <w:uiPriority w:val="34"/>
    <w:qFormat/>
    <w:rsid w:val="006A1030"/>
    <w:pPr>
      <w:ind w:left="720"/>
      <w:contextualSpacing/>
    </w:pPr>
  </w:style>
  <w:style w:type="character" w:styleId="IntenseEmphasis">
    <w:name w:val="Intense Emphasis"/>
    <w:basedOn w:val="DefaultParagraphFont"/>
    <w:uiPriority w:val="21"/>
    <w:qFormat/>
    <w:rsid w:val="006A1030"/>
    <w:rPr>
      <w:i/>
      <w:iCs/>
      <w:color w:val="0F4761" w:themeColor="accent1" w:themeShade="BF"/>
    </w:rPr>
  </w:style>
  <w:style w:type="paragraph" w:styleId="IntenseQuote">
    <w:name w:val="Intense Quote"/>
    <w:basedOn w:val="Normal"/>
    <w:next w:val="Normal"/>
    <w:link w:val="IntenseQuoteChar"/>
    <w:uiPriority w:val="30"/>
    <w:qFormat/>
    <w:rsid w:val="006A1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030"/>
    <w:rPr>
      <w:i/>
      <w:iCs/>
      <w:color w:val="0F4761" w:themeColor="accent1" w:themeShade="BF"/>
    </w:rPr>
  </w:style>
  <w:style w:type="character" w:styleId="IntenseReference">
    <w:name w:val="Intense Reference"/>
    <w:basedOn w:val="DefaultParagraphFont"/>
    <w:uiPriority w:val="32"/>
    <w:qFormat/>
    <w:rsid w:val="006A1030"/>
    <w:rPr>
      <w:b/>
      <w:bCs/>
      <w:smallCaps/>
      <w:color w:val="0F4761" w:themeColor="accent1" w:themeShade="BF"/>
      <w:spacing w:val="5"/>
    </w:rPr>
  </w:style>
  <w:style w:type="character" w:styleId="Hyperlink">
    <w:name w:val="Hyperlink"/>
    <w:basedOn w:val="DefaultParagraphFont"/>
    <w:uiPriority w:val="99"/>
    <w:unhideWhenUsed/>
    <w:rsid w:val="006A1030"/>
    <w:rPr>
      <w:color w:val="467886" w:themeColor="hyperlink"/>
      <w:u w:val="single"/>
    </w:rPr>
  </w:style>
  <w:style w:type="paragraph" w:styleId="TOC2">
    <w:name w:val="toc 2"/>
    <w:basedOn w:val="Normal"/>
    <w:next w:val="Normal"/>
    <w:uiPriority w:val="39"/>
    <w:unhideWhenUsed/>
    <w:rsid w:val="006A1030"/>
    <w:pPr>
      <w:spacing w:after="100"/>
      <w:ind w:left="220"/>
    </w:pPr>
  </w:style>
  <w:style w:type="paragraph" w:styleId="TOC3">
    <w:name w:val="toc 3"/>
    <w:basedOn w:val="Normal"/>
    <w:next w:val="Normal"/>
    <w:uiPriority w:val="39"/>
    <w:unhideWhenUsed/>
    <w:rsid w:val="006A1030"/>
    <w:pPr>
      <w:spacing w:after="100"/>
      <w:ind w:left="440"/>
    </w:pPr>
  </w:style>
  <w:style w:type="paragraph" w:styleId="Header">
    <w:name w:val="header"/>
    <w:basedOn w:val="Normal"/>
    <w:link w:val="HeaderChar"/>
    <w:uiPriority w:val="99"/>
    <w:unhideWhenUsed/>
    <w:rsid w:val="006A1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030"/>
  </w:style>
  <w:style w:type="paragraph" w:styleId="Footer">
    <w:name w:val="footer"/>
    <w:basedOn w:val="Normal"/>
    <w:link w:val="FooterChar"/>
    <w:uiPriority w:val="99"/>
    <w:unhideWhenUsed/>
    <w:rsid w:val="006A1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030"/>
  </w:style>
  <w:style w:type="paragraph" w:styleId="NormalWeb">
    <w:name w:val="Normal (Web)"/>
    <w:basedOn w:val="Normal"/>
    <w:uiPriority w:val="99"/>
    <w:semiHidden/>
    <w:unhideWhenUsed/>
    <w:rsid w:val="006A103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istParagraphChar">
    <w:name w:val="List Paragraph Char"/>
    <w:link w:val="ListParagraph"/>
    <w:uiPriority w:val="34"/>
    <w:rsid w:val="006A1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donmet.ac.uk/media/london-metropolitan-university/london-met-documents/professional-service-departments/academic-quality-and-development-aqd/quality-manual/section-11-collaborative-provision/2025-26/Collaborative-Academic-Partnership-Lifecycle-Process-2025-26.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ondonmet.ac.uk/media/london-metropolitan-university/london-met-documents/professional-service-departments/academic-quality-and-development-aqd/quality-manual/section-11-collaborative-provision/2025-26/Collaborative-Partnerships-Operational-Manual-2025-26.pdf" TargetMode="External"/><Relationship Id="rId12" Type="http://schemas.openxmlformats.org/officeDocument/2006/relationships/hyperlink" Target="https://www.londonmet.ac.uk/media/london-metropolitan-university/london-met-documents/professional-service-departments/academic-quality-and-development-aqd/quality-manual/section-11-collaborative-provision/2025-26/Collaborative-Academic-Partnership-Lifecycle-Process-2025-26.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ndonmet.ac.uk/media/london-metropolitan-university/london-met-documents/professional-service-departments/academic-quality-and-development-aqd/quality-manual/section-11-collaborative-provision/2025-26/Collaborative-Partnerships-Operational-Manual-2025-26.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ondonmet.ac.uk/media/london-metropolitan-university/london-met-documents/professional-service-departments/academic-quality-and-development-aqd/quality-manual/section-11-collaborative-provision/2025-26/Collaborative-Academic-Partnership-Lifecycle-Process-2025-26.pdf" TargetMode="External"/><Relationship Id="rId4" Type="http://schemas.openxmlformats.org/officeDocument/2006/relationships/webSettings" Target="webSettings.xml"/><Relationship Id="rId9" Type="http://schemas.openxmlformats.org/officeDocument/2006/relationships/hyperlink" Target="https://www.londonmet.ac.uk/media/london-metropolitan-university/london-met-documents/professional-service-departments/academic-quality-and-development-aqd/quality-manual/section-11-collaborative-provision/2025-26/Collaborative-Partnerships-Operational-Manual-2025-26.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3593</Words>
  <Characters>20483</Characters>
  <Application>Microsoft Office Word</Application>
  <DocSecurity>0</DocSecurity>
  <Lines>170</Lines>
  <Paragraphs>48</Paragraphs>
  <ScaleCrop>false</ScaleCrop>
  <Company/>
  <LinksUpToDate>false</LinksUpToDate>
  <CharactersWithSpaces>24028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Lorisha Glen</dc:creator>
  <cp:keywords/>
  <dc:description/>
  <cp:lastModifiedBy>Lorisha Glen</cp:lastModifiedBy>
  <cp:revision>3</cp:revision>
  <dcterms:created xsi:type="dcterms:W3CDTF">2026-06-25T16:22:00Z</dcterms:created>
  <dcterms:modified xsi:type="dcterms:W3CDTF">2026-06-29T10:32:00Z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99fa0dde-1f19-417e-9614-93a4f65b4bd8</vt:lpwstr>
  </property>
</Properties>
</file>